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66"/>
        <w:jc w:val="both"/>
        <w:keepLines w:val="0"/>
        <w:keepNext w:val="0"/>
        <w:pageBreakBefore w:val="0"/>
        <w:spacing w:line="360" w:lineRule="auto"/>
        <w:rPr>
          <w:rFonts w:hint="eastAsia" w:ascii="宋体" w:hAnsi="宋体" w:cs="宋体"/>
          <w:b/>
          <w:bCs/>
          <w:color w:val="auto"/>
          <w:sz w:val="52"/>
          <w:szCs w:val="52"/>
        </w:rPr>
      </w:pPr>
      <w:r/>
      <w:bookmarkStart w:id="0" w:name="_Toc7713_WPSOffice_Type1"/>
      <w:r/>
      <w:r/>
    </w:p>
    <w:p>
      <w:pPr>
        <w:jc w:val="center"/>
        <w:keepLines w:val="0"/>
        <w:keepNext w:val="0"/>
        <w:pageBreakBefore w:val="0"/>
        <w:spacing w:line="360" w:lineRule="auto"/>
        <w:rPr>
          <w:rFonts w:hint="eastAsia" w:ascii="宋体" w:hAnsi="宋体" w:eastAsia="宋体" w:cs="宋体"/>
          <w:b/>
          <w:bCs/>
          <w:color w:val="auto"/>
          <w:sz w:val="52"/>
          <w:szCs w:val="52"/>
        </w:rPr>
      </w:pPr>
      <w:r>
        <w:rPr>
          <w:rFonts w:hint="eastAsia" w:ascii="宋体" w:hAnsi="宋体" w:cs="宋体"/>
          <w:b/>
          <w:bCs/>
          <w:color w:val="auto"/>
          <w:sz w:val="52"/>
          <w:szCs w:val="52"/>
        </w:rPr>
        <w:t xml:space="preserve">政府采购项目招标文件</w:t>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both"/>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default" w:ascii="宋体" w:hAnsi="宋体" w:eastAsia="宋体" w:cs="宋体"/>
          <w:b/>
          <w:bCs/>
          <w:color w:val="auto"/>
          <w:sz w:val="32"/>
          <w:szCs w:val="32"/>
          <w:lang w:val="en-US"/>
        </w:rPr>
      </w:pPr>
      <w:r>
        <w:rPr>
          <w:rFonts w:hint="eastAsia" w:ascii="宋体" w:hAnsi="宋体" w:eastAsia="宋体" w:cs="宋体"/>
          <w:b/>
          <w:bCs/>
          <w:color w:val="auto"/>
          <w:sz w:val="32"/>
          <w:szCs w:val="32"/>
        </w:rPr>
        <w:t xml:space="preserve">项目名称：</w:t>
      </w:r>
      <w:r>
        <w:rPr>
          <w:rFonts w:hint="eastAsia" w:ascii="宋体" w:hAnsi="宋体" w:cs="宋体"/>
          <w:b/>
          <w:bCs/>
          <w:color w:val="auto"/>
          <w:sz w:val="32"/>
          <w:szCs w:val="32"/>
          <w:lang w:eastAsia="zh-CN"/>
        </w:rPr>
        <w:t xml:space="preserve">2025年增补城区交安设施采购</w:t>
      </w:r>
      <w:r/>
    </w:p>
    <w:p>
      <w:pPr>
        <w:ind w:firstLine="1928"/>
        <w:jc w:val="both"/>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cs="宋体"/>
          <w:b/>
          <w:bCs/>
          <w:color w:val="auto"/>
          <w:sz w:val="32"/>
          <w:szCs w:val="32"/>
          <w:lang w:eastAsia="zh-CN"/>
        </w:rPr>
        <w:t xml:space="preserve">JSZC-320831-JHYC-G2025-0029</w:t>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928"/>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eastAsia="zh-CN"/>
        </w:rPr>
        <w:t xml:space="preserve">招标人</w:t>
      </w:r>
      <w:r>
        <w:rPr>
          <w:rFonts w:hint="eastAsia" w:ascii="宋体" w:hAnsi="宋体" w:eastAsia="宋体" w:cs="宋体"/>
          <w:b/>
          <w:bCs/>
          <w:color w:val="auto"/>
          <w:sz w:val="32"/>
          <w:szCs w:val="32"/>
        </w:rPr>
        <w:t xml:space="preserve">：</w:t>
      </w:r>
      <w:r>
        <w:rPr>
          <w:rFonts w:hint="eastAsia" w:ascii="宋体" w:hAnsi="宋体" w:cs="宋体"/>
          <w:b/>
          <w:bCs/>
          <w:color w:val="auto"/>
          <w:sz w:val="32"/>
          <w:szCs w:val="32"/>
          <w:lang w:eastAsia="zh-CN"/>
        </w:rPr>
        <w:t xml:space="preserve">金湖县住房和城乡建设局</w:t>
      </w:r>
      <w:r/>
    </w:p>
    <w:p>
      <w:pPr>
        <w:jc w:val="center"/>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val="en-US" w:eastAsia="zh-CN"/>
        </w:rPr>
        <w:t xml:space="preserve">招标</w:t>
      </w:r>
      <w:r>
        <w:rPr>
          <w:rFonts w:hint="eastAsia" w:ascii="宋体" w:hAnsi="宋体" w:eastAsia="宋体" w:cs="宋体"/>
          <w:b/>
          <w:bCs/>
          <w:color w:val="auto"/>
          <w:sz w:val="32"/>
          <w:szCs w:val="32"/>
        </w:rPr>
        <w:t xml:space="preserve">代理机构：</w:t>
      </w:r>
      <w:r>
        <w:rPr>
          <w:rFonts w:hint="eastAsia" w:ascii="宋体" w:hAnsi="宋体" w:cs="宋体"/>
          <w:b/>
          <w:bCs/>
          <w:color w:val="auto"/>
          <w:sz w:val="32"/>
          <w:szCs w:val="32"/>
          <w:lang w:eastAsia="zh-CN"/>
        </w:rPr>
        <w:t xml:space="preserve">金湖易采项目管理有限公司</w:t>
      </w:r>
      <w:r/>
    </w:p>
    <w:p>
      <w:p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日期：</w:t>
      </w:r>
      <w:r>
        <w:rPr>
          <w:rFonts w:hint="eastAsia" w:ascii="宋体" w:hAnsi="宋体" w:cs="宋体"/>
          <w:b/>
          <w:bCs/>
          <w:color w:val="auto"/>
          <w:sz w:val="32"/>
          <w:szCs w:val="32"/>
          <w:lang w:eastAsia="zh-CN"/>
        </w:rPr>
        <w:t xml:space="preserve">二〇二五年</w:t>
      </w: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lang w:val="en-US" w:eastAsia="zh-CN"/>
        </w:rPr>
        <w:t xml:space="preserve">二</w:t>
      </w:r>
      <w:r>
        <w:rPr>
          <w:rFonts w:hint="eastAsia" w:ascii="宋体" w:hAnsi="宋体" w:cs="宋体"/>
          <w:b/>
          <w:bCs/>
          <w:color w:val="auto"/>
          <w:sz w:val="32"/>
          <w:szCs w:val="32"/>
          <w:lang w:eastAsia="zh-CN"/>
        </w:rPr>
        <w:t xml:space="preserve">月</w:t>
      </w:r>
      <w:r/>
    </w:p>
    <w:p>
      <w:pPr>
        <w:keepLines w:val="0"/>
        <w:keepNext w:val="0"/>
        <w:pageBreakBefore w:val="0"/>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br w:type="page" w:clear="all"/>
      </w:r>
      <w:r/>
    </w:p>
    <w:p>
      <w:pPr>
        <w:ind w:left="0" w:right="0" w:firstLine="0"/>
        <w:jc w:val="center"/>
        <w:keepLines w:val="0"/>
        <w:keepNext w:val="0"/>
        <w:pageBreakBefore w:val="0"/>
        <w:spacing w:before="0" w:after="0" w:line="360" w:lineRule="auto"/>
        <w:rPr>
          <w:rFonts w:hint="eastAsia" w:ascii="宋体" w:hAnsi="宋体" w:eastAsia="宋体" w:cs="宋体"/>
          <w:color w:val="auto"/>
          <w:sz w:val="36"/>
          <w:szCs w:val="36"/>
        </w:rPr>
      </w:pPr>
      <w:r>
        <w:rPr>
          <w:rFonts w:hint="eastAsia" w:ascii="宋体" w:hAnsi="宋体" w:eastAsia="宋体" w:cs="宋体"/>
          <w:b/>
          <w:bCs/>
          <w:color w:val="auto"/>
          <w:sz w:val="36"/>
          <w:szCs w:val="36"/>
        </w:rPr>
        <w:t xml:space="preserve">目</w:t>
      </w:r>
      <w:r>
        <w:rPr>
          <w:rFonts w:hint="eastAsia" w:ascii="宋体" w:hAnsi="宋体" w:cs="宋体"/>
          <w:b/>
          <w:bCs/>
          <w:color w:val="auto"/>
          <w:sz w:val="36"/>
          <w:szCs w:val="36"/>
          <w:lang w:val="en-US" w:eastAsia="zh-CN"/>
        </w:rPr>
        <w:t xml:space="preserve"> </w:t>
      </w:r>
      <w:r>
        <w:rPr>
          <w:rFonts w:hint="eastAsia" w:ascii="宋体" w:hAnsi="宋体" w:eastAsia="宋体" w:cs="宋体"/>
          <w:b/>
          <w:bCs/>
          <w:color w:val="auto"/>
          <w:sz w:val="36"/>
          <w:szCs w:val="36"/>
        </w:rPr>
        <w:t xml:space="preserve">录</w:t>
      </w:r>
      <w:r/>
    </w:p>
    <w:p>
      <w:pPr>
        <w:pStyle w:val="1078"/>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78"/>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_Toc24195_WPSOffice_Level1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邀请</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fldChar w:fldCharType="end"/>
      </w:r>
      <w:r/>
    </w:p>
    <w:p>
      <w:pPr>
        <w:pStyle w:val="1078"/>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_Toc12470_WPSOffice_Level1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fldChar w:fldCharType="end"/>
      </w:r>
      <w:r/>
    </w:p>
    <w:p>
      <w:pPr>
        <w:pStyle w:val="1078"/>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_Toc8139_WPSOffice_Level1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cs="宋体"/>
          <w:color w:val="auto"/>
          <w:sz w:val="28"/>
          <w:szCs w:val="28"/>
          <w:lang w:val="en-US" w:eastAsia="zh-CN"/>
        </w:rPr>
        <w:t xml:space="preserve">评标</w:t>
      </w:r>
      <w:r>
        <w:rPr>
          <w:rFonts w:hint="eastAsia" w:ascii="宋体" w:hAnsi="宋体" w:eastAsia="宋体" w:cs="宋体"/>
          <w:color w:val="auto"/>
          <w:sz w:val="28"/>
          <w:szCs w:val="28"/>
        </w:rPr>
        <w:t xml:space="preserve">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19</w:t>
      </w:r>
      <w:r/>
    </w:p>
    <w:p>
      <w:pPr>
        <w:pStyle w:val="1078"/>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_Toc11567_WPSOffice_Level1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合同格式及条款</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78"/>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第五章  项目采购需求</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78"/>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lang w:val="en-US" w:eastAsia="zh-CN"/>
        </w:rPr>
        <w:t xml:space="preserve">文件格式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20</w:t>
      </w:r>
      <w:r/>
    </w:p>
    <w:p>
      <w:pPr>
        <w:pStyle w:val="1078"/>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bookmarkEnd w:id="0"/>
      <w:r/>
      <w:r/>
    </w:p>
    <w:p>
      <w:pPr>
        <w:ind w:firstLine="560"/>
        <w:spacing w:line="11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br w:type="page" w:clear="all"/>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 xml:space="preserve">投标邀请</w:t>
      </w:r>
      <w:r/>
    </w:p>
    <w:p>
      <w:pPr>
        <w:ind w:firstLine="484"/>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受</w:t>
      </w:r>
      <w:r>
        <w:rPr>
          <w:rFonts w:hint="eastAsia" w:ascii="宋体" w:hAnsi="宋体" w:cs="宋体"/>
          <w:b w:val="0"/>
          <w:bCs w:val="0"/>
          <w:color w:val="auto"/>
          <w:spacing w:val="-10"/>
          <w:sz w:val="24"/>
          <w:szCs w:val="24"/>
          <w:u w:val="single"/>
          <w:lang w:eastAsia="zh-CN"/>
        </w:rPr>
        <w:t xml:space="preserve">金湖县住房和城乡建设局</w:t>
      </w:r>
      <w:r>
        <w:rPr>
          <w:rFonts w:hint="eastAsia" w:ascii="宋体" w:hAnsi="宋体" w:eastAsia="宋体" w:cs="宋体"/>
          <w:color w:val="auto"/>
          <w:sz w:val="24"/>
          <w:szCs w:val="24"/>
          <w:shd w:val="clear" w:color="auto" w:fill="ffffff"/>
          <w:lang w:val="en-US" w:eastAsia="zh-CN" w:bidi="ar"/>
        </w:rPr>
        <w:t xml:space="preserve">的委托，</w:t>
      </w:r>
      <w:r>
        <w:rPr>
          <w:rFonts w:hint="eastAsia" w:ascii="宋体" w:hAnsi="宋体" w:cs="宋体"/>
          <w:color w:val="auto"/>
          <w:sz w:val="24"/>
          <w:szCs w:val="24"/>
          <w:u w:val="single"/>
          <w:shd w:val="clear" w:color="auto" w:fill="ffffff"/>
          <w:lang w:val="en-US" w:eastAsia="zh-CN" w:bidi="ar"/>
        </w:rPr>
        <w:t xml:space="preserve">金湖易采项目管理有限公司</w:t>
      </w:r>
      <w:r>
        <w:rPr>
          <w:rFonts w:hint="eastAsia" w:ascii="宋体" w:hAnsi="宋体" w:eastAsia="宋体" w:cs="宋体"/>
          <w:color w:val="auto"/>
          <w:sz w:val="24"/>
          <w:szCs w:val="24"/>
          <w:shd w:val="clear" w:color="auto" w:fill="ffffff"/>
          <w:lang w:val="en-US" w:eastAsia="zh-CN" w:bidi="ar"/>
        </w:rPr>
        <w:t xml:space="preserve">就</w:t>
      </w:r>
      <w:r>
        <w:rPr>
          <w:rFonts w:hint="eastAsia" w:ascii="宋体" w:hAnsi="宋体" w:cs="宋体"/>
          <w:color w:val="auto"/>
          <w:sz w:val="24"/>
          <w:u w:val="single"/>
          <w:lang w:val="en-US" w:eastAsia="zh-CN"/>
        </w:rPr>
        <w:t xml:space="preserve">2025年增补城区交安设施采购</w:t>
      </w:r>
      <w:r>
        <w:rPr>
          <w:rFonts w:hint="eastAsia" w:ascii="宋体" w:hAnsi="宋体" w:eastAsia="宋体" w:cs="宋体"/>
          <w:color w:val="auto"/>
          <w:sz w:val="24"/>
          <w:szCs w:val="24"/>
          <w:shd w:val="clear" w:color="auto" w:fill="ffffff"/>
          <w:lang w:val="en-US" w:eastAsia="zh-CN" w:bidi="ar"/>
        </w:rPr>
        <w:t xml:space="preserve">进行</w:t>
      </w:r>
      <w:r>
        <w:rPr>
          <w:rFonts w:hint="eastAsia" w:ascii="宋体" w:hAnsi="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shd w:val="clear" w:color="auto" w:fill="ffffff"/>
          <w:lang w:val="en-US" w:eastAsia="zh-CN" w:bidi="ar"/>
        </w:rPr>
        <w:t xml:space="preserve">全流程不见面交易</w:t>
      </w:r>
      <w:r>
        <w:rPr>
          <w:rFonts w:hint="eastAsia" w:ascii="宋体" w:hAnsi="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shd w:val="clear" w:color="auto" w:fill="ffffff"/>
          <w:lang w:val="en-US" w:eastAsia="zh-CN" w:bidi="ar"/>
        </w:rPr>
        <w:t xml:space="preserve">采购，现邀请符合条件的投标人参加投标。</w:t>
      </w:r>
      <w:r/>
    </w:p>
    <w:tbl>
      <w:tblPr>
        <w:tblStyle w:val="817"/>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1073"/>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项目概况：</w:t>
            </w:r>
            <w:r/>
          </w:p>
          <w:p>
            <w:pPr>
              <w:pStyle w:val="1073"/>
              <w:ind w:firstLine="440"/>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u w:val="single"/>
                <w:lang w:val="en-US" w:eastAsia="zh-CN"/>
              </w:rPr>
              <w:t xml:space="preserve">2025年增补城区交安设施采购（</w:t>
            </w:r>
            <w:r>
              <w:rPr>
                <w:rFonts w:hint="eastAsia" w:ascii="宋体" w:hAnsi="宋体" w:eastAsia="宋体" w:cs="宋体"/>
                <w:color w:val="auto"/>
                <w:szCs w:val="24"/>
                <w:u w:val="single"/>
                <w:lang w:val="en-US"/>
              </w:rPr>
              <w:t xml:space="preserve">项目编号：</w:t>
            </w:r>
            <w:r>
              <w:rPr>
                <w:rFonts w:hint="eastAsia" w:ascii="宋体" w:hAnsi="宋体" w:eastAsia="宋体" w:cs="宋体"/>
                <w:color w:val="auto"/>
                <w:szCs w:val="24"/>
                <w:u w:val="single"/>
                <w:lang w:val="en-US" w:eastAsia="zh-CN"/>
              </w:rPr>
              <w:t xml:space="preserve">JSZC-320831-JHYC-G2025-0029）</w:t>
            </w:r>
            <w:r>
              <w:rPr>
                <w:rFonts w:hint="eastAsia" w:ascii="宋体" w:hAnsi="宋体" w:eastAsia="宋体" w:cs="宋体"/>
                <w:color w:val="auto"/>
                <w:szCs w:val="24"/>
                <w:lang w:val="en-US"/>
              </w:rPr>
              <w:t xml:space="preserve">招标项目的潜在投标人应在江苏政府采购网或者淮安市政府采购网获取采购文件，并于</w:t>
            </w:r>
            <w:r>
              <w:rPr>
                <w:rFonts w:hint="eastAsia" w:ascii="宋体" w:hAnsi="宋体" w:eastAsia="宋体" w:cs="宋体"/>
                <w:color w:val="auto"/>
                <w:szCs w:val="24"/>
                <w:u w:val="single"/>
                <w:lang w:val="en-US" w:eastAsia="zh-CN"/>
              </w:rPr>
              <w:t xml:space="preserve">2025-12-18 9:00</w:t>
            </w:r>
            <w:r>
              <w:rPr>
                <w:rFonts w:hint="eastAsia" w:ascii="宋体" w:hAnsi="宋体" w:eastAsia="宋体" w:cs="宋体"/>
                <w:color w:val="auto"/>
                <w:szCs w:val="24"/>
                <w:u w:val="single"/>
                <w:lang w:val="en-US"/>
              </w:rPr>
              <w:t xml:space="preserve">（北京时间）</w:t>
            </w:r>
            <w:r>
              <w:rPr>
                <w:rFonts w:hint="eastAsia" w:ascii="宋体" w:hAnsi="宋体" w:eastAsia="宋体" w:cs="宋体"/>
                <w:color w:val="auto"/>
                <w:szCs w:val="24"/>
                <w:lang w:val="en-US"/>
              </w:rPr>
              <w:t xml:space="preserve">前递交</w:t>
            </w:r>
            <w:r>
              <w:rPr>
                <w:rFonts w:hint="eastAsia" w:ascii="宋体" w:hAnsi="宋体" w:eastAsia="宋体" w:cs="宋体"/>
                <w:color w:val="auto"/>
                <w:szCs w:val="24"/>
                <w:lang w:val="en-US" w:eastAsia="zh-CN"/>
              </w:rPr>
              <w:t xml:space="preserve">投标文件</w:t>
            </w:r>
            <w:r>
              <w:rPr>
                <w:rFonts w:hint="eastAsia" w:ascii="宋体" w:hAnsi="宋体" w:eastAsia="宋体" w:cs="宋体"/>
                <w:color w:val="auto"/>
                <w:szCs w:val="24"/>
                <w:lang w:val="en-US"/>
              </w:rPr>
              <w:t xml:space="preserve">。</w:t>
            </w:r>
            <w:r/>
          </w:p>
        </w:tc>
      </w:tr>
    </w:tbl>
    <w:p>
      <w:pPr>
        <w:numPr>
          <w:ilvl w:val="0"/>
          <w:numId w:val="0"/>
        </w:numPr>
        <w:ind w:left="0"/>
        <w:jc w:val="left"/>
        <w:keepLines w:val="0"/>
        <w:keepNext w:val="0"/>
        <w:pageBreakBefore w:val="0"/>
        <w:spacing w:line="360" w:lineRule="auto"/>
        <w:rPr>
          <w:rFonts w:hint="eastAsia" w:ascii="宋体" w:hAnsi="宋体" w:eastAsia="宋体" w:cs="宋体"/>
          <w:b/>
          <w:bCs/>
          <w:color w:val="auto"/>
          <w:sz w:val="24"/>
        </w:rPr>
      </w:pPr>
      <w:r/>
      <w:bookmarkStart w:id="2" w:name="OLE_LINK7"/>
      <w:r/>
      <w:bookmarkStart w:id="3" w:name="OLE_LINK4"/>
      <w:r/>
      <w:bookmarkStart w:id="4" w:name="OLE_LINK1"/>
      <w:r/>
      <w:bookmarkStart w:id="5" w:name="OLE_LINK2"/>
      <w:r>
        <w:rPr>
          <w:rFonts w:hint="eastAsia" w:ascii="宋体" w:hAnsi="宋体" w:eastAsia="宋体" w:cs="宋体"/>
          <w:b/>
          <w:bCs/>
          <w:color w:val="auto"/>
          <w:sz w:val="24"/>
          <w:szCs w:val="24"/>
          <w:lang w:val="en-US" w:eastAsia="zh-CN" w:bidi="ar-SA"/>
        </w:rPr>
        <w:t xml:space="preserve">一、</w:t>
      </w:r>
      <w:r>
        <w:rPr>
          <w:rFonts w:hint="eastAsia" w:ascii="宋体" w:hAnsi="宋体" w:eastAsia="宋体" w:cs="宋体"/>
          <w:b/>
          <w:bCs/>
          <w:color w:val="auto"/>
          <w:sz w:val="24"/>
        </w:rPr>
        <w:t xml:space="preserve">项目基本情况</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JSZC-320831-JHYC-G2025-0029</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rPr>
        <w:t xml:space="preserve">项目名称：</w:t>
      </w:r>
      <w:r>
        <w:rPr>
          <w:rFonts w:hint="eastAsia" w:ascii="宋体" w:hAnsi="宋体" w:cs="宋体"/>
          <w:color w:val="auto"/>
          <w:sz w:val="24"/>
          <w:lang w:val="en-US" w:eastAsia="zh-CN"/>
        </w:rPr>
        <w:t xml:space="preserve">2025年增补城区交安设施采购</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rPr>
        <w:t xml:space="preserve">采购方式：公开招标</w:t>
      </w:r>
      <w:r/>
    </w:p>
    <w:p>
      <w:pPr>
        <w:ind w:left="0" w:firstLine="484"/>
        <w:keepLines w:val="0"/>
        <w:keepNext w:val="0"/>
        <w:pageBreakBefore w:val="0"/>
        <w:spacing w:line="360" w:lineRule="auto"/>
        <w:rPr>
          <w:rFonts w:hint="eastAsia" w:ascii="宋体" w:hAnsi="宋体" w:eastAsia="宋体" w:cs="宋体"/>
          <w:color w:val="auto"/>
          <w:sz w:val="24"/>
          <w:lang w:val="en-US"/>
        </w:rPr>
      </w:pP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rPr>
        <w:t xml:space="preserve">预算金额：</w:t>
      </w:r>
      <w:bookmarkStart w:id="6" w:name="OLE_LINK3"/>
      <w:r>
        <w:rPr>
          <w:rFonts w:hint="eastAsia" w:ascii="宋体" w:hAnsi="宋体" w:cs="宋体"/>
          <w:color w:val="auto"/>
          <w:sz w:val="24"/>
          <w:lang w:val="en-US" w:eastAsia="zh-CN"/>
        </w:rPr>
        <w:t xml:space="preserve">413万元</w:t>
      </w:r>
      <w:r/>
    </w:p>
    <w:p>
      <w:pPr>
        <w:ind w:left="0" w:firstLine="484"/>
        <w:keepLines w:val="0"/>
        <w:keepNext w:val="0"/>
        <w:pageBreakBefore w:val="0"/>
        <w:spacing w:line="360" w:lineRule="auto"/>
        <w:rPr>
          <w:rFonts w:hint="eastAsia" w:ascii="宋体" w:hAnsi="宋体" w:eastAsia="宋体" w:cs="宋体"/>
          <w:color w:val="auto"/>
          <w:sz w:val="24"/>
          <w:lang w:val="en-US"/>
        </w:rPr>
      </w:pP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rPr>
        <w:t xml:space="preserve">最高限价：</w:t>
      </w:r>
      <w:r>
        <w:rPr>
          <w:rFonts w:hint="eastAsia" w:ascii="宋体" w:hAnsi="宋体" w:cs="宋体"/>
          <w:color w:val="auto"/>
          <w:sz w:val="24"/>
          <w:highlight w:val="none"/>
          <w:lang w:val="en-US" w:eastAsia="zh-CN"/>
        </w:rPr>
        <w:t xml:space="preserve">400.21</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lang w:val="en-US" w:eastAsia="zh-CN"/>
        </w:rPr>
        <w:t xml:space="preserve">，投标报价超过最高限价的为无效报价。</w:t>
      </w:r>
      <w:bookmarkEnd w:id="6"/>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rPr>
        <w:t xml:space="preserve">采购需求：新增信号灯、行人过街系统、防撞式护栏、可变倒计时显示屏路口、LED户外宣传电子屏、单点自适应系统路口、行人和非机动车违法实时语音警示AI模型路口等</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rPr>
        <w:t xml:space="preserve">建设信号灯故障智能检测系统和金湖县文明城市智慧交通管理平台系统等</w:t>
      </w:r>
      <w:r>
        <w:rPr>
          <w:rFonts w:hint="eastAsia" w:ascii="宋体" w:hAnsi="宋体" w:cs="宋体"/>
          <w:color w:val="auto"/>
          <w:sz w:val="24"/>
          <w:lang w:val="en-US" w:eastAsia="zh-CN"/>
        </w:rPr>
        <w:t xml:space="preserve">，具体内容详见招标文件项目采购需求。</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rPr>
        <w:t xml:space="preserve">合同履行期限：</w:t>
      </w:r>
      <w:r>
        <w:rPr>
          <w:rFonts w:hint="eastAsia" w:ascii="宋体" w:hAnsi="宋体" w:eastAsia="宋体" w:cs="宋体"/>
          <w:color w:val="auto"/>
          <w:sz w:val="24"/>
          <w:highlight w:val="none"/>
          <w:lang w:val="en-US" w:eastAsia="zh-CN"/>
        </w:rPr>
        <w:t xml:space="preserve">暂定90日历天（具体以招标人通知时间为准）</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rPr>
        <w:t xml:space="preserve">质量：</w:t>
      </w:r>
      <w:r>
        <w:rPr>
          <w:rFonts w:hint="eastAsia" w:ascii="宋体" w:hAnsi="宋体" w:eastAsia="宋体" w:cs="宋体"/>
          <w:sz w:val="24"/>
          <w:szCs w:val="24"/>
          <w:shd w:val="clear" w:color="auto" w:fill="ffffff"/>
          <w:lang w:eastAsia="zh-CN"/>
        </w:rPr>
        <w:t xml:space="preserve">合格（符合国家相关标准规范验收标准要求）</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9.</w:t>
      </w:r>
      <w:r>
        <w:rPr>
          <w:rFonts w:hint="eastAsia" w:ascii="宋体" w:hAnsi="宋体" w:eastAsia="宋体" w:cs="宋体"/>
          <w:color w:val="auto"/>
          <w:sz w:val="24"/>
          <w:lang w:val="en-US" w:eastAsia="zh-CN"/>
        </w:rPr>
        <w:t xml:space="preserve">本项目不接受联合体投标</w:t>
      </w:r>
      <w:r/>
    </w:p>
    <w:p>
      <w:pPr>
        <w:pStyle w:val="1073"/>
        <w:numPr>
          <w:ilvl w:val="0"/>
          <w:numId w:val="0"/>
        </w:numPr>
        <w:ind w:left="0"/>
        <w:keepLines w:val="0"/>
        <w:keepNext w:val="0"/>
        <w:pageBreakBefore w:val="0"/>
        <w:spacing w:line="360" w:lineRule="auto"/>
        <w:widowControl/>
        <w:rPr>
          <w:rFonts w:hint="eastAsia" w:ascii="宋体" w:hAnsi="宋体" w:eastAsia="宋体" w:cs="宋体"/>
          <w:b/>
          <w:bCs/>
          <w:color w:val="auto"/>
          <w:szCs w:val="24"/>
          <w:lang w:val="en-US"/>
        </w:rPr>
      </w:pPr>
      <w:r>
        <w:rPr>
          <w:rFonts w:hint="eastAsia" w:ascii="宋体" w:hAnsi="宋体" w:eastAsia="宋体" w:cs="宋体"/>
          <w:b/>
          <w:bCs/>
          <w:color w:val="auto"/>
          <w:sz w:val="24"/>
          <w:szCs w:val="24"/>
          <w:lang w:val="en-US" w:eastAsia="zh-CN" w:bidi="ar-SA"/>
        </w:rPr>
        <w:t xml:space="preserve">二、</w:t>
      </w:r>
      <w:r>
        <w:rPr>
          <w:rFonts w:hint="eastAsia" w:ascii="宋体" w:hAnsi="宋体" w:eastAsia="宋体" w:cs="宋体"/>
          <w:b/>
          <w:bCs/>
          <w:color w:val="auto"/>
          <w:szCs w:val="24"/>
          <w:lang w:val="en-US"/>
        </w:rPr>
        <w:t xml:space="preserve">投标人的资格要求</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（一）符合《中华人民共和国政府采购法》第二十二条规定的六项条件；</w:t>
      </w:r>
      <w:r/>
    </w:p>
    <w:p>
      <w:pPr>
        <w:ind w:left="0" w:firstLine="484"/>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（二）落实政府采购政策需满足的资格要求</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本项目按照以下</w:t>
      </w:r>
      <w:r>
        <w:rPr>
          <w:rFonts w:hint="eastAsia" w:ascii="宋体" w:hAnsi="宋体" w:cs="宋体"/>
          <w:b w:val="0"/>
          <w:bCs w:val="0"/>
          <w:color w:val="auto"/>
          <w:sz w:val="24"/>
        </w:rPr>
        <w:t xml:space="preserve">第</w:t>
      </w:r>
      <w:r>
        <w:rPr>
          <w:rFonts w:hint="eastAsia" w:ascii="宋体" w:hAnsi="宋体" w:cs="宋体"/>
          <w:b w:val="0"/>
          <w:bCs w:val="0"/>
          <w:color w:val="auto"/>
          <w:sz w:val="24"/>
          <w:highlight w:val="none"/>
          <w:u w:val="single"/>
          <w:lang w:val="en-US" w:eastAsia="zh-CN"/>
        </w:rPr>
        <w:t xml:space="preserve">3</w:t>
      </w:r>
      <w:r>
        <w:rPr>
          <w:rFonts w:hint="eastAsia" w:ascii="宋体" w:hAnsi="宋体" w:cs="宋体"/>
          <w:b w:val="0"/>
          <w:bCs w:val="0"/>
          <w:color w:val="auto"/>
          <w:sz w:val="24"/>
        </w:rPr>
        <w:t xml:space="preserve">种</w:t>
      </w:r>
      <w:r>
        <w:rPr>
          <w:rFonts w:hint="eastAsia" w:ascii="宋体" w:hAnsi="宋体" w:cs="宋体"/>
          <w:color w:val="auto"/>
          <w:sz w:val="24"/>
        </w:rPr>
        <w:t xml:space="preserve">方式落实政府采购促进中小企业发展的要求</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本项目为专门面向中小企业采购的项目。</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本项目通过以下第</w:t>
      </w:r>
      <w:r>
        <w:rPr>
          <w:rFonts w:hint="eastAsia" w:ascii="宋体" w:hAnsi="宋体" w:cs="宋体"/>
          <w:color w:val="auto"/>
          <w:sz w:val="24"/>
          <w:lang w:eastAsia="zh-CN"/>
        </w:rPr>
        <w:t xml:space="preserve">（）</w:t>
      </w:r>
      <w:r>
        <w:rPr>
          <w:rFonts w:hint="eastAsia" w:ascii="宋体" w:hAnsi="宋体" w:cs="宋体"/>
          <w:color w:val="auto"/>
          <w:sz w:val="24"/>
        </w:rPr>
        <w:t xml:space="preserve">种方式预留部分采购份额采购中小企业服务</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本项目要求</w:t>
      </w:r>
      <w:r>
        <w:rPr>
          <w:rFonts w:hint="eastAsia" w:ascii="宋体" w:hAnsi="宋体" w:cs="宋体"/>
          <w:color w:val="auto"/>
          <w:sz w:val="24"/>
          <w:lang w:eastAsia="zh-CN"/>
        </w:rPr>
        <w:t xml:space="preserve">供应商</w:t>
      </w:r>
      <w:r>
        <w:rPr>
          <w:rFonts w:hint="eastAsia" w:ascii="宋体" w:hAnsi="宋体" w:cs="宋体"/>
          <w:color w:val="auto"/>
          <w:sz w:val="24"/>
        </w:rPr>
        <w:t xml:space="preserve">以联合体形式参加，中小企业合同金额应当达到的比例为__%，其中小微企业所占比例应为__%</w:t>
      </w:r>
      <w:r>
        <w:rPr>
          <w:rFonts w:hint="eastAsia" w:ascii="宋体" w:hAnsi="宋体" w:cs="宋体"/>
          <w:color w:val="auto"/>
          <w:sz w:val="24"/>
          <w:lang w:eastAsia="zh-CN"/>
        </w:rPr>
        <w:t xml:space="preserve">（</w:t>
      </w:r>
      <w:r>
        <w:rPr>
          <w:rFonts w:hint="eastAsia" w:ascii="宋体" w:hAnsi="宋体" w:cs="宋体"/>
          <w:color w:val="auto"/>
          <w:sz w:val="24"/>
        </w:rPr>
        <w:t xml:space="preserve">两项比例均应符合《政府采购促进中小企业发展管理办法》第八条规定</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本项目要求</w:t>
      </w:r>
      <w:r>
        <w:rPr>
          <w:rFonts w:hint="eastAsia" w:ascii="宋体" w:hAnsi="宋体" w:cs="宋体"/>
          <w:color w:val="auto"/>
          <w:sz w:val="24"/>
          <w:lang w:eastAsia="zh-CN"/>
        </w:rPr>
        <w:t xml:space="preserve">供应商</w:t>
      </w:r>
      <w:r>
        <w:rPr>
          <w:rFonts w:hint="eastAsia" w:ascii="宋体" w:hAnsi="宋体" w:cs="宋体"/>
          <w:color w:val="auto"/>
          <w:sz w:val="24"/>
        </w:rPr>
        <w:t xml:space="preserve">进行合同分包，中小企业合同金额应当达到的比例为_%，其中小微企业所占比例应为_%</w:t>
      </w:r>
      <w:r>
        <w:rPr>
          <w:rFonts w:hint="eastAsia" w:ascii="宋体" w:hAnsi="宋体" w:cs="宋体"/>
          <w:color w:val="auto"/>
          <w:sz w:val="24"/>
          <w:lang w:eastAsia="zh-CN"/>
        </w:rPr>
        <w:t xml:space="preserve">（</w:t>
      </w:r>
      <w:r>
        <w:rPr>
          <w:rFonts w:hint="eastAsia" w:ascii="宋体" w:hAnsi="宋体" w:cs="宋体"/>
          <w:color w:val="auto"/>
          <w:sz w:val="24"/>
        </w:rPr>
        <w:t xml:space="preserve">两项比例均应符合《政府采购促进中小企业发展管理办法》第八条规定</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本项目为非预留份额的采购项目，对小微企业报价给予扣除，用扣除后的价格参加评审，具体详见第三章评标标准</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lang w:eastAsia="zh-CN"/>
        </w:rPr>
        <w:t xml:space="preserve">：</w:t>
      </w:r>
      <w:r>
        <w:rPr>
          <w:rFonts w:hint="eastAsia" w:ascii="宋体" w:hAnsi="宋体" w:cs="宋体"/>
          <w:color w:val="auto"/>
          <w:sz w:val="24"/>
        </w:rPr>
        <w:t xml:space="preserve">监狱企业、残疾人福利性单位视同小微企业。</w:t>
      </w:r>
      <w:r/>
    </w:p>
    <w:p>
      <w:pPr>
        <w:pStyle w:val="1018"/>
        <w:ind w:left="0" w:firstLine="480"/>
        <w:keepLines w:val="0"/>
        <w:keepNext w:val="0"/>
        <w:pageBreakBefore w:val="0"/>
        <w:spacing w:line="360" w:lineRule="auto"/>
        <w:rPr>
          <w:rFonts w:hint="eastAsia" w:cs="宋体"/>
          <w:b/>
          <w:bCs/>
          <w:color w:val="auto"/>
          <w:sz w:val="24"/>
          <w:u w:val="single"/>
        </w:rPr>
      </w:pPr>
      <w:r>
        <w:rPr>
          <w:rFonts w:hint="eastAsia" w:cs="宋体"/>
          <w:b/>
          <w:bCs/>
          <w:color w:val="auto"/>
          <w:sz w:val="24"/>
        </w:rPr>
        <w:t xml:space="preserve">本项目采购标的对应的中小企业划分标准所属行业为</w:t>
      </w:r>
      <w:r>
        <w:rPr>
          <w:rFonts w:hint="eastAsia" w:cs="宋体"/>
          <w:b/>
          <w:bCs/>
          <w:color w:val="auto"/>
          <w:sz w:val="24"/>
          <w:u w:val="single"/>
          <w:lang w:eastAsia="zh-CN"/>
        </w:rPr>
        <w:t xml:space="preserve">工业</w:t>
      </w:r>
      <w:r>
        <w:rPr>
          <w:rFonts w:hint="eastAsia" w:cs="宋体"/>
          <w:b/>
          <w:bCs/>
          <w:color w:val="auto"/>
          <w:sz w:val="24"/>
          <w:u w:val="single"/>
        </w:rPr>
        <w:t xml:space="preserve">。</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w:t>
      </w:r>
      <w:r>
        <w:rPr>
          <w:rFonts w:hint="eastAsia" w:ascii="宋体" w:hAnsi="宋体" w:eastAsia="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参加本次采购活动：</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，不得同时参加同一合同项下的政府采购活动；</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，不得再参加本项目的采购活动； </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不得参加本项目的采购活动。 </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招标人</w:t>
      </w:r>
      <w:r>
        <w:rPr>
          <w:rFonts w:hint="eastAsia" w:ascii="宋体" w:hAnsi="宋体" w:eastAsia="宋体" w:cs="宋体"/>
          <w:color w:val="auto"/>
          <w:sz w:val="24"/>
        </w:rPr>
        <w:t xml:space="preserve">（代理机构）通过</w:t>
      </w:r>
      <w:r>
        <w:rPr>
          <w:rFonts w:hint="eastAsia" w:ascii="宋体" w:hAnsi="宋体" w:cs="宋体"/>
          <w:color w:val="auto"/>
          <w:sz w:val="24"/>
          <w:szCs w:val="24"/>
          <w:lang w:eastAsia="zh-CN"/>
        </w:rPr>
        <w:t xml:space="preserve">“</w:t>
      </w:r>
      <w:r>
        <w:rPr>
          <w:rFonts w:hint="eastAsia" w:ascii="宋体" w:hAnsi="宋体" w:eastAsia="宋体" w:cs="宋体"/>
          <w:color w:val="auto"/>
          <w:sz w:val="24"/>
        </w:rPr>
        <w:t xml:space="preserve">信用中国</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网站（www.creditchina.gov.cn）、</w:t>
      </w:r>
      <w:r>
        <w:rPr>
          <w:rFonts w:hint="eastAsia" w:ascii="宋体" w:hAnsi="宋体" w:cs="宋体"/>
          <w:color w:val="auto"/>
          <w:sz w:val="24"/>
          <w:szCs w:val="24"/>
          <w:lang w:eastAsia="zh-CN"/>
        </w:rPr>
        <w:t xml:space="preserve">“</w:t>
      </w:r>
      <w:r>
        <w:rPr>
          <w:rFonts w:hint="eastAsia" w:ascii="宋体" w:hAnsi="宋体" w:eastAsia="宋体" w:cs="宋体"/>
          <w:color w:val="auto"/>
          <w:sz w:val="24"/>
        </w:rPr>
        <w:t xml:space="preserve">中国政府采购网</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网站（www.ccgp.gov.cn）等渠道查询供应商在采购公告发布之日前的信用记录并保存，查询结果以网页打印的形式留存并归档。</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cs="宋体"/>
          <w:color w:val="auto"/>
          <w:sz w:val="24"/>
        </w:rPr>
        <w:t xml:space="preserve">）</w:t>
      </w:r>
      <w:r>
        <w:rPr>
          <w:rFonts w:hint="eastAsia" w:ascii="宋体" w:hAnsi="宋体" w:cs="宋体"/>
          <w:color w:val="auto"/>
          <w:sz w:val="24"/>
          <w:lang w:eastAsia="zh-CN"/>
        </w:rPr>
        <w:t xml:space="preserve">供应商</w:t>
      </w:r>
      <w:r>
        <w:rPr>
          <w:rFonts w:hint="eastAsia" w:ascii="宋体" w:hAnsi="宋体" w:cs="宋体"/>
          <w:color w:val="auto"/>
          <w:sz w:val="24"/>
        </w:rPr>
        <w:t xml:space="preserve">提供下列之一</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法定代表人参加</w:t>
      </w:r>
      <w:r>
        <w:rPr>
          <w:rFonts w:hint="eastAsia" w:ascii="宋体" w:hAnsi="宋体" w:eastAsia="宋体" w:cs="宋体"/>
          <w:color w:val="auto"/>
          <w:sz w:val="24"/>
        </w:rPr>
        <w:t xml:space="preserve">投标</w:t>
      </w:r>
      <w:r>
        <w:rPr>
          <w:rFonts w:hint="eastAsia" w:ascii="宋体" w:hAnsi="宋体" w:cs="宋体"/>
          <w:color w:val="auto"/>
          <w:sz w:val="24"/>
        </w:rPr>
        <w:t xml:space="preserve">的，提供法定代表人资格证明（按照示范格式要求）和法定代表人身份证。</w:t>
      </w:r>
      <w:r/>
    </w:p>
    <w:p>
      <w:pPr>
        <w:ind w:left="0" w:firstLine="484"/>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供应商</w:t>
      </w:r>
      <w:r>
        <w:rPr>
          <w:rFonts w:hint="eastAsia" w:ascii="宋体" w:hAnsi="宋体" w:cs="宋体"/>
          <w:color w:val="auto"/>
          <w:sz w:val="24"/>
        </w:rPr>
        <w:t xml:space="preserve">授权委托人参加</w:t>
      </w:r>
      <w:r>
        <w:rPr>
          <w:rFonts w:hint="eastAsia" w:ascii="宋体" w:hAnsi="宋体" w:eastAsia="宋体" w:cs="宋体"/>
          <w:color w:val="auto"/>
          <w:sz w:val="24"/>
        </w:rPr>
        <w:t xml:space="preserve">投标</w:t>
      </w:r>
      <w:r>
        <w:rPr>
          <w:rFonts w:hint="eastAsia" w:ascii="宋体" w:hAnsi="宋体" w:cs="宋体"/>
          <w:color w:val="auto"/>
          <w:sz w:val="24"/>
        </w:rPr>
        <w:t xml:space="preserve">的，提供授权委托书（按照示范格式要求）和受托人身份证。</w:t>
      </w:r>
      <w:r/>
    </w:p>
    <w:p>
      <w:pPr>
        <w:ind w:left="0" w:firstLine="484"/>
        <w:keepLines w:val="0"/>
        <w:keepNext w:val="0"/>
        <w:pageBreakBefore w:val="0"/>
        <w:spacing w:line="360" w:lineRule="auto"/>
        <w:rPr>
          <w:color w:val="auto"/>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eastAsia="宋体" w:cs="宋体"/>
          <w:color w:val="auto"/>
          <w:sz w:val="24"/>
          <w:szCs w:val="24"/>
        </w:rPr>
        <w:t xml:space="preserve">本项目不接受联合体投标。</w:t>
      </w:r>
      <w:r/>
    </w:p>
    <w:p>
      <w:pPr>
        <w:ind w:left="0" w:firstLine="487"/>
        <w:keepLines w:val="0"/>
        <w:keepNext w:val="0"/>
        <w:pageBreakBefore w:val="0"/>
        <w:spacing w:line="360" w:lineRule="auto"/>
        <w:rPr>
          <w:rFonts w:hint="eastAsia" w:ascii="宋体" w:hAnsi="宋体" w:eastAsia="宋体" w:cs="宋体"/>
          <w:b/>
          <w:bCs/>
          <w:color w:val="auto"/>
          <w:sz w:val="24"/>
        </w:rPr>
      </w:pPr>
      <w:r>
        <w:rPr>
          <w:rFonts w:hint="eastAsia" w:ascii="宋体" w:hAnsi="宋体" w:cs="宋体"/>
          <w:b/>
          <w:bCs/>
          <w:color w:val="auto"/>
          <w:sz w:val="24"/>
          <w:lang w:eastAsia="zh-CN"/>
        </w:rPr>
        <w:t xml:space="preserve">投标人</w:t>
      </w:r>
      <w:r>
        <w:rPr>
          <w:rFonts w:hint="eastAsia" w:ascii="宋体" w:hAnsi="宋体" w:eastAsia="宋体" w:cs="宋体"/>
          <w:b/>
          <w:bCs/>
          <w:color w:val="auto"/>
          <w:sz w:val="24"/>
        </w:rPr>
        <w:t xml:space="preserve">资格要求以</w:t>
      </w:r>
      <w:r>
        <w:rPr>
          <w:rFonts w:hint="eastAsia" w:ascii="宋体" w:hAnsi="宋体" w:cs="宋体"/>
          <w:b/>
          <w:bCs/>
          <w:color w:val="auto"/>
          <w:sz w:val="24"/>
          <w:lang w:eastAsia="zh-CN"/>
        </w:rPr>
        <w:t xml:space="preserve">招标文件</w:t>
      </w:r>
      <w:r>
        <w:rPr>
          <w:rFonts w:hint="eastAsia" w:ascii="宋体" w:hAnsi="宋体" w:eastAsia="宋体" w:cs="宋体"/>
          <w:b/>
          <w:bCs/>
          <w:color w:val="auto"/>
          <w:sz w:val="24"/>
        </w:rPr>
        <w:t xml:space="preserve">第六章第八条资质审查时</w:t>
      </w:r>
      <w:r>
        <w:rPr>
          <w:rFonts w:hint="eastAsia" w:ascii="宋体" w:hAnsi="宋体" w:cs="宋体"/>
          <w:b/>
          <w:bCs/>
          <w:color w:val="auto"/>
          <w:sz w:val="24"/>
          <w:lang w:eastAsia="zh-CN"/>
        </w:rPr>
        <w:t xml:space="preserve">投标人</w:t>
      </w:r>
      <w:r>
        <w:rPr>
          <w:rFonts w:hint="eastAsia" w:ascii="宋体" w:hAnsi="宋体" w:eastAsia="宋体" w:cs="宋体"/>
          <w:b/>
          <w:bCs/>
          <w:color w:val="auto"/>
          <w:sz w:val="24"/>
        </w:rPr>
        <w:t xml:space="preserve">必须提交的资格证明文件为准。</w:t>
      </w:r>
      <w:r/>
    </w:p>
    <w:p>
      <w:pPr>
        <w:pStyle w:val="1073"/>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 xml:space="preserve">三、获取</w:t>
      </w:r>
      <w:r>
        <w:rPr>
          <w:rFonts w:hint="eastAsia" w:ascii="宋体" w:hAnsi="宋体" w:eastAsia="宋体" w:cs="宋体"/>
          <w:b/>
          <w:bCs/>
          <w:color w:val="auto"/>
          <w:szCs w:val="24"/>
          <w:lang w:val="en-US" w:eastAsia="zh-CN"/>
        </w:rPr>
        <w:t xml:space="preserve">招标文件</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时间：</w:t>
      </w:r>
      <w:r>
        <w:rPr>
          <w:rFonts w:hint="eastAsia" w:ascii="宋体" w:hAnsi="宋体" w:cs="宋体"/>
          <w:color w:val="auto"/>
          <w:sz w:val="24"/>
          <w:lang w:val="en-US" w:eastAsia="zh-CN"/>
        </w:rPr>
        <w:t xml:space="preserve">自招标文件公告发布之日起5个工作日</w:t>
      </w:r>
      <w:r/>
    </w:p>
    <w:p>
      <w:pPr>
        <w:pStyle w:val="840"/>
        <w:ind w:firstLine="480"/>
        <w:keepNext w:val="0"/>
        <w:pageBreakBefore w:val="0"/>
        <w:spacing w:before="0" w:beforeAutospacing="0" w:after="0" w:afterAutospacing="0" w:line="360" w:lineRule="auto"/>
        <w:rPr>
          <w:rFonts w:hint="eastAsia" w:ascii="宋体" w:hAnsi="宋体" w:cs="宋体"/>
          <w:color w:val="auto"/>
          <w:sz w:val="24"/>
        </w:rPr>
      </w:pPr>
      <w:r>
        <w:rPr>
          <w:rFonts w:hint="eastAsia" w:ascii="宋体" w:hAnsi="宋体" w:cs="宋体"/>
          <w:color w:val="auto"/>
          <w:sz w:val="24"/>
          <w:lang w:eastAsia="zh-CN"/>
        </w:rPr>
        <w:t xml:space="preserve">地点</w:t>
      </w:r>
      <w:r>
        <w:rPr>
          <w:rFonts w:hint="eastAsia" w:ascii="宋体" w:hAnsi="宋体" w:cs="宋体"/>
          <w:color w:val="auto"/>
          <w:sz w:val="24"/>
        </w:rPr>
        <w:t xml:space="preserve">：江苏政府采购网或者淮安市政府采购网</w:t>
      </w:r>
      <w:r/>
    </w:p>
    <w:p>
      <w:pPr>
        <w:pStyle w:val="840"/>
        <w:ind w:firstLine="480"/>
        <w:keepNext w:val="0"/>
        <w:pageBreakBefore w:val="0"/>
        <w:spacing w:before="0" w:beforeAutospacing="0" w:after="0" w:afterAutospacing="0" w:line="360" w:lineRule="auto"/>
        <w:rPr>
          <w:rFonts w:hint="eastAsia" w:ascii="宋体" w:hAnsi="宋体" w:cs="宋体"/>
          <w:color w:val="auto"/>
          <w:sz w:val="24"/>
          <w:highlight w:val="yellow"/>
        </w:rPr>
      </w:pPr>
      <w:r>
        <w:rPr>
          <w:rFonts w:hint="eastAsia" w:ascii="宋体" w:hAnsi="宋体" w:cs="宋体"/>
          <w:color w:val="auto"/>
          <w:sz w:val="24"/>
        </w:rPr>
        <w:t xml:space="preserve">方式：苏采云</w:t>
      </w:r>
      <w:r/>
    </w:p>
    <w:p>
      <w:pPr>
        <w:pStyle w:val="840"/>
        <w:ind w:firstLine="480"/>
        <w:keepNext w:val="0"/>
        <w:pageBreakBefore w:val="0"/>
        <w:spacing w:before="0" w:beforeAutospacing="0" w:after="0" w:afterAutospacing="0" w:line="360" w:lineRule="auto"/>
        <w:rPr>
          <w:rFonts w:hint="eastAsia"/>
          <w:color w:val="auto"/>
        </w:rPr>
      </w:pPr>
      <w:r>
        <w:rPr>
          <w:rFonts w:hint="eastAsia"/>
          <w:color w:val="auto"/>
          <w:shd w:val="clear" w:color="auto" w:fill="ffffff"/>
        </w:rPr>
        <w:t xml:space="preserve">价格：0元</w:t>
      </w:r>
      <w:r/>
    </w:p>
    <w:p>
      <w:pPr>
        <w:pStyle w:val="1073"/>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 xml:space="preserve">四、</w:t>
      </w:r>
      <w:r>
        <w:rPr>
          <w:rFonts w:hint="eastAsia" w:ascii="宋体" w:hAnsi="宋体" w:eastAsia="宋体" w:cs="宋体"/>
          <w:b/>
          <w:bCs/>
          <w:color w:val="auto"/>
          <w:szCs w:val="24"/>
          <w:lang w:val="en-US" w:eastAsia="zh-CN"/>
        </w:rPr>
        <w:t xml:space="preserve">投标文件</w:t>
      </w:r>
      <w:r>
        <w:rPr>
          <w:rFonts w:hint="eastAsia" w:ascii="宋体" w:hAnsi="宋体" w:eastAsia="宋体" w:cs="宋体"/>
          <w:b/>
          <w:bCs/>
          <w:color w:val="auto"/>
          <w:szCs w:val="24"/>
          <w:lang w:val="en-US"/>
        </w:rPr>
        <w:t xml:space="preserve">提交</w:t>
      </w:r>
      <w:r/>
    </w:p>
    <w:p>
      <w:pPr>
        <w:pStyle w:val="840"/>
        <w:ind w:firstLine="480"/>
        <w:keepNext w:val="0"/>
        <w:pageBreakBefore w:val="0"/>
        <w:spacing w:before="0" w:beforeAutospacing="0" w:after="0" w:afterAutospacing="0" w:line="360" w:lineRule="auto"/>
        <w:rPr>
          <w:rFonts w:hint="eastAsia"/>
          <w:color w:val="auto"/>
        </w:rPr>
      </w:pPr>
      <w:r>
        <w:rPr>
          <w:rFonts w:hint="eastAsia"/>
          <w:color w:val="auto"/>
        </w:rPr>
        <w:t xml:space="preserve">截止时间：</w:t>
      </w:r>
      <w:r>
        <w:rPr>
          <w:rFonts w:hint="eastAsia" w:ascii="宋体" w:hAnsi="宋体" w:cs="宋体"/>
          <w:color w:val="auto"/>
          <w:sz w:val="24"/>
          <w:lang w:val="en-US" w:eastAsia="zh-CN"/>
        </w:rPr>
        <w:t xml:space="preserve">2025年</w:t>
      </w:r>
      <w:r>
        <w:rPr>
          <w:rFonts w:hint="eastAsia" w:cs="宋体"/>
          <w:color w:val="auto"/>
          <w:sz w:val="24"/>
          <w:lang w:val="en-US" w:eastAsia="zh-CN"/>
        </w:rPr>
        <w:t xml:space="preserve">12</w:t>
      </w:r>
      <w:r>
        <w:rPr>
          <w:rFonts w:hint="eastAsia" w:ascii="宋体" w:hAnsi="宋体" w:cs="宋体"/>
          <w:color w:val="auto"/>
          <w:sz w:val="24"/>
          <w:lang w:val="en-US" w:eastAsia="zh-CN"/>
        </w:rPr>
        <w:t xml:space="preserve">月</w:t>
      </w:r>
      <w:r>
        <w:rPr>
          <w:rFonts w:hint="eastAsia" w:cs="宋体"/>
          <w:color w:val="auto"/>
          <w:sz w:val="24"/>
          <w:lang w:val="en-US" w:eastAsia="zh-CN"/>
        </w:rPr>
        <w:t xml:space="preserve">18</w:t>
      </w:r>
      <w:r>
        <w:rPr>
          <w:rFonts w:hint="eastAsia" w:ascii="宋体" w:hAnsi="宋体" w:cs="宋体"/>
          <w:color w:val="auto"/>
          <w:sz w:val="24"/>
          <w:lang w:val="en-US" w:eastAsia="zh-CN"/>
        </w:rPr>
        <w:t xml:space="preserve">日</w:t>
      </w:r>
      <w:r>
        <w:rPr>
          <w:rFonts w:hint="eastAsia"/>
          <w:color w:val="auto"/>
          <w:lang w:val="en-US" w:eastAsia="zh-CN"/>
        </w:rPr>
        <w:t xml:space="preserve">9</w:t>
      </w:r>
      <w:r>
        <w:rPr>
          <w:rFonts w:hint="eastAsia"/>
          <w:color w:val="auto"/>
        </w:rPr>
        <w:t xml:space="preserve">点</w:t>
      </w:r>
      <w:r>
        <w:rPr>
          <w:rFonts w:hint="eastAsia"/>
          <w:color w:val="auto"/>
          <w:lang w:val="en-US" w:eastAsia="zh-CN"/>
        </w:rPr>
        <w:t xml:space="preserve">00</w:t>
      </w:r>
      <w:r>
        <w:rPr>
          <w:rFonts w:hint="eastAsia"/>
          <w:color w:val="auto"/>
        </w:rPr>
        <w:t xml:space="preserve">分</w:t>
      </w:r>
      <w:r/>
    </w:p>
    <w:p>
      <w:pPr>
        <w:pStyle w:val="840"/>
        <w:ind w:firstLine="480"/>
        <w:keepNext w:val="0"/>
        <w:pageBreakBefore w:val="0"/>
        <w:spacing w:before="0" w:beforeAutospacing="0" w:after="0" w:afterAutospacing="0" w:line="360" w:lineRule="auto"/>
        <w:rPr>
          <w:rFonts w:hint="eastAsia" w:ascii="宋体" w:hAnsi="宋体"/>
          <w:color w:val="auto"/>
          <w:sz w:val="24"/>
          <w:szCs w:val="24"/>
          <w:highlight w:val="none"/>
        </w:rPr>
      </w:pPr>
      <w:r>
        <w:rPr>
          <w:rFonts w:hint="eastAsia"/>
          <w:color w:val="auto"/>
        </w:rPr>
        <w:t xml:space="preserve">地点：</w:t>
      </w:r>
      <w:r>
        <w:rPr>
          <w:rFonts w:hint="eastAsia"/>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color w:val="auto"/>
          <w:sz w:val="24"/>
          <w:szCs w:val="24"/>
          <w:highlight w:val="none"/>
          <w:lang w:eastAsia="zh-CN"/>
        </w:rPr>
        <w:t xml:space="preserve">”</w:t>
      </w:r>
      <w:r>
        <w:rPr>
          <w:rFonts w:hint="eastAsia" w:ascii="宋体" w:hAnsi="宋体"/>
          <w:color w:val="auto"/>
          <w:sz w:val="24"/>
          <w:szCs w:val="24"/>
          <w:highlight w:val="none"/>
        </w:rPr>
        <w:t xml:space="preserve">政府采购交易系统网上开标大厅</w:t>
      </w:r>
      <w:r/>
    </w:p>
    <w:p>
      <w:pPr>
        <w:pStyle w:val="840"/>
        <w:numPr>
          <w:ilvl w:val="0"/>
          <w:numId w:val="0"/>
        </w:numPr>
        <w:keepNext w:val="0"/>
        <w:pageBreakBefore w:val="0"/>
        <w:spacing w:before="0" w:beforeAutospacing="0" w:after="0" w:afterAutospacing="0" w:line="360" w:lineRule="auto"/>
        <w:rPr>
          <w:rFonts w:hint="eastAsia" w:ascii="宋体" w:hAnsi="宋体" w:eastAsia="宋体" w:cs="宋体"/>
          <w:b/>
          <w:color w:val="auto"/>
          <w:shd w:val="clear" w:color="auto" w:fill="ffffff"/>
          <w:lang w:eastAsia="zh-CN"/>
        </w:rPr>
      </w:pPr>
      <w:r>
        <w:rPr>
          <w:rFonts w:hint="eastAsia" w:eastAsia="宋体" w:cs="宋体"/>
          <w:b/>
          <w:color w:val="auto"/>
          <w:shd w:val="clear" w:color="auto" w:fill="ffffff"/>
          <w:lang w:eastAsia="zh-CN"/>
        </w:rPr>
        <w:t xml:space="preserve">五、</w:t>
      </w:r>
      <w:r>
        <w:rPr>
          <w:rFonts w:hint="eastAsia" w:ascii="宋体" w:hAnsi="宋体" w:eastAsia="宋体" w:cs="宋体"/>
          <w:b/>
          <w:color w:val="auto"/>
          <w:shd w:val="clear" w:color="auto" w:fill="ffffff"/>
          <w:lang w:eastAsia="zh-CN"/>
        </w:rPr>
        <w:t xml:space="preserve">开启</w:t>
      </w:r>
      <w:r/>
    </w:p>
    <w:p>
      <w:pPr>
        <w:pStyle w:val="840"/>
        <w:ind w:firstLine="480"/>
        <w:keepNext w:val="0"/>
        <w:pageBreakBefore w:val="0"/>
        <w:spacing w:before="0" w:beforeAutospacing="0" w:after="0" w:afterAutospacing="0" w:line="360" w:lineRule="auto"/>
        <w:rPr>
          <w:rFonts w:hint="eastAsia"/>
          <w:color w:val="auto"/>
        </w:rPr>
      </w:pPr>
      <w:r>
        <w:rPr>
          <w:rFonts w:hint="eastAsia"/>
          <w:color w:val="auto"/>
        </w:rPr>
        <w:t xml:space="preserve">时间：</w:t>
      </w:r>
      <w:r>
        <w:rPr>
          <w:rFonts w:hint="eastAsia" w:ascii="宋体" w:hAnsi="宋体" w:cs="宋体"/>
          <w:color w:val="auto"/>
          <w:sz w:val="24"/>
          <w:lang w:val="en-US" w:eastAsia="zh-CN"/>
        </w:rPr>
        <w:t xml:space="preserve">2025年</w:t>
      </w:r>
      <w:r>
        <w:rPr>
          <w:rFonts w:hint="eastAsia" w:cs="宋体"/>
          <w:color w:val="auto"/>
          <w:sz w:val="24"/>
          <w:lang w:val="en-US" w:eastAsia="zh-CN"/>
        </w:rPr>
        <w:t xml:space="preserve">12</w:t>
      </w:r>
      <w:r>
        <w:rPr>
          <w:rFonts w:hint="eastAsia" w:ascii="宋体" w:hAnsi="宋体" w:cs="宋体"/>
          <w:color w:val="auto"/>
          <w:sz w:val="24"/>
          <w:lang w:val="en-US" w:eastAsia="zh-CN"/>
        </w:rPr>
        <w:t xml:space="preserve">月1</w:t>
      </w:r>
      <w:r>
        <w:rPr>
          <w:rFonts w:hint="eastAsia" w:cs="宋体"/>
          <w:color w:val="auto"/>
          <w:sz w:val="24"/>
          <w:lang w:val="en-US" w:eastAsia="zh-CN"/>
        </w:rPr>
        <w:t xml:space="preserve">8</w:t>
      </w:r>
      <w:r>
        <w:rPr>
          <w:rFonts w:hint="eastAsia" w:ascii="宋体" w:hAnsi="宋体" w:cs="宋体"/>
          <w:color w:val="auto"/>
          <w:sz w:val="24"/>
          <w:lang w:val="en-US" w:eastAsia="zh-CN"/>
        </w:rPr>
        <w:t xml:space="preserve">日</w:t>
      </w:r>
      <w:r>
        <w:rPr>
          <w:rFonts w:hint="eastAsia"/>
          <w:color w:val="auto"/>
          <w:lang w:val="en-US" w:eastAsia="zh-CN"/>
        </w:rPr>
        <w:t xml:space="preserve">9</w:t>
      </w:r>
      <w:r>
        <w:rPr>
          <w:rFonts w:hint="eastAsia"/>
          <w:color w:val="auto"/>
        </w:rPr>
        <w:t xml:space="preserve">点</w:t>
      </w:r>
      <w:r>
        <w:rPr>
          <w:rFonts w:hint="eastAsia"/>
          <w:color w:val="auto"/>
          <w:lang w:val="en-US" w:eastAsia="zh-CN"/>
        </w:rPr>
        <w:t xml:space="preserve">00</w:t>
      </w:r>
      <w:r>
        <w:rPr>
          <w:rFonts w:hint="eastAsia"/>
          <w:color w:val="auto"/>
        </w:rPr>
        <w:t xml:space="preserve">分</w:t>
      </w:r>
      <w:r/>
    </w:p>
    <w:p>
      <w:pPr>
        <w:pStyle w:val="840"/>
        <w:ind w:firstLine="480"/>
        <w:keepNext w:val="0"/>
        <w:pageBreakBefore w:val="0"/>
        <w:spacing w:before="0" w:beforeAutospacing="0" w:after="0" w:afterAutospacing="0" w:line="360" w:lineRule="auto"/>
        <w:rPr>
          <w:rFonts w:hint="eastAsia" w:ascii="宋体" w:hAnsi="宋体" w:eastAsia="宋体" w:cs="宋体"/>
          <w:b/>
          <w:bCs/>
          <w:color w:val="auto"/>
          <w:szCs w:val="24"/>
          <w:lang w:val="en-US"/>
        </w:rPr>
      </w:pPr>
      <w:r>
        <w:rPr>
          <w:rFonts w:hint="eastAsia" w:ascii="宋体" w:hAnsi="宋体" w:eastAsia="宋体" w:cs="宋体"/>
          <w:color w:val="auto"/>
          <w:lang w:val="en-US" w:eastAsia="zh-CN"/>
        </w:rPr>
        <w:t xml:space="preserve">地点：金湖县金湖不见面开标大厅二室</w:t>
      </w:r>
      <w:r/>
    </w:p>
    <w:p>
      <w:pPr>
        <w:pStyle w:val="1073"/>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六</w:t>
      </w:r>
      <w:r>
        <w:rPr>
          <w:rFonts w:hint="eastAsia" w:ascii="宋体" w:hAnsi="宋体" w:eastAsia="宋体" w:cs="宋体"/>
          <w:b/>
          <w:bCs/>
          <w:color w:val="auto"/>
          <w:szCs w:val="24"/>
          <w:lang w:val="en-US"/>
        </w:rPr>
        <w:t xml:space="preserve">、公告期限</w:t>
      </w:r>
      <w:r/>
    </w:p>
    <w:p>
      <w:pPr>
        <w:pStyle w:val="1073"/>
        <w:ind w:left="0" w:firstLine="480"/>
        <w:keepLines w:val="0"/>
        <w:keepNext w:val="0"/>
        <w:pageBreakBefore w:val="0"/>
        <w:spacing w:line="360" w:lineRule="auto"/>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自本公告发布之日起</w:t>
      </w:r>
      <w:r>
        <w:rPr>
          <w:rFonts w:hint="eastAsia" w:ascii="宋体" w:hAnsi="宋体" w:eastAsia="宋体" w:cs="宋体"/>
          <w:color w:val="auto"/>
          <w:szCs w:val="24"/>
          <w:lang w:val="en-US" w:eastAsia="zh-CN"/>
        </w:rPr>
        <w:t xml:space="preserve">五</w:t>
      </w:r>
      <w:r>
        <w:rPr>
          <w:rFonts w:hint="eastAsia" w:ascii="宋体" w:hAnsi="宋体" w:eastAsia="宋体" w:cs="宋体"/>
          <w:color w:val="auto"/>
          <w:szCs w:val="24"/>
          <w:lang w:val="en-US"/>
        </w:rPr>
        <w:t xml:space="preserve">个工作日。</w:t>
      </w:r>
      <w:r/>
    </w:p>
    <w:p>
      <w:pPr>
        <w:pStyle w:val="1073"/>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七</w:t>
      </w:r>
      <w:r>
        <w:rPr>
          <w:rFonts w:hint="eastAsia" w:ascii="宋体" w:hAnsi="宋体" w:eastAsia="宋体" w:cs="宋体"/>
          <w:b/>
          <w:bCs/>
          <w:color w:val="auto"/>
          <w:szCs w:val="24"/>
          <w:lang w:val="en-US"/>
        </w:rPr>
        <w:t xml:space="preserve">、其他补充事宜</w:t>
      </w:r>
      <w:r/>
    </w:p>
    <w:p>
      <w:pPr>
        <w:pStyle w:val="840"/>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1.</w:t>
      </w:r>
      <w:r>
        <w:rPr>
          <w:rFonts w:hint="eastAsia"/>
          <w:color w:val="auto"/>
        </w:rPr>
        <w:t xml:space="preserve">本项目采用不见面电子投标。请</w:t>
      </w:r>
      <w:r>
        <w:rPr>
          <w:rFonts w:hint="eastAsia"/>
          <w:color w:val="auto"/>
          <w:lang w:eastAsia="zh-CN"/>
        </w:rPr>
        <w:t xml:space="preserve">供应商</w:t>
      </w:r>
      <w:r>
        <w:rPr>
          <w:rFonts w:hint="eastAsia"/>
          <w:color w:val="auto"/>
        </w:rPr>
        <w:t xml:space="preserve">严格按照</w:t>
      </w:r>
      <w:r>
        <w:rPr>
          <w:rFonts w:hint="eastAsia"/>
          <w:color w:val="auto"/>
          <w:lang w:eastAsia="zh-CN"/>
        </w:rPr>
        <w:t xml:space="preserve">招标文件</w:t>
      </w:r>
      <w:r>
        <w:rPr>
          <w:rFonts w:hint="eastAsia"/>
          <w:color w:val="auto"/>
        </w:rPr>
        <w:t xml:space="preserve">的规定编制、提交</w:t>
      </w:r>
      <w:r>
        <w:rPr>
          <w:rFonts w:hint="eastAsia"/>
          <w:color w:val="auto"/>
          <w:lang w:eastAsia="zh-CN"/>
        </w:rPr>
        <w:t xml:space="preserve">投标文件</w:t>
      </w:r>
      <w:r>
        <w:rPr>
          <w:rFonts w:hint="eastAsia"/>
          <w:color w:val="auto"/>
        </w:rPr>
        <w:t xml:space="preserve">，否则所造成的一切后果由</w:t>
      </w:r>
      <w:r>
        <w:rPr>
          <w:rFonts w:hint="eastAsia"/>
          <w:color w:val="auto"/>
          <w:lang w:eastAsia="zh-CN"/>
        </w:rPr>
        <w:t xml:space="preserve">供应商</w:t>
      </w:r>
      <w:r>
        <w:rPr>
          <w:rFonts w:hint="eastAsia"/>
          <w:color w:val="auto"/>
        </w:rPr>
        <w:t xml:space="preserve">自负。</w:t>
      </w:r>
      <w:r/>
    </w:p>
    <w:p>
      <w:pPr>
        <w:pStyle w:val="840"/>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2.</w:t>
      </w:r>
      <w:r>
        <w:rPr>
          <w:rFonts w:hint="eastAsia"/>
          <w:color w:val="auto"/>
        </w:rPr>
        <w:t xml:space="preserve">本项目无需投标保证金。</w:t>
      </w:r>
      <w:r/>
    </w:p>
    <w:p>
      <w:pPr>
        <w:pStyle w:val="840"/>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3.</w:t>
      </w:r>
      <w:r>
        <w:rPr>
          <w:rFonts w:hint="eastAsia"/>
          <w:color w:val="auto"/>
        </w:rPr>
        <w:t xml:space="preserve">本项目仅采购非进口产品（注：本文件所称进口产品是指通过中国海关报关验放进入中国境内且产自关境外的产品）。</w:t>
      </w:r>
      <w:r/>
    </w:p>
    <w:p>
      <w:pPr>
        <w:pStyle w:val="840"/>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4.</w:t>
      </w:r>
      <w:r>
        <w:rPr>
          <w:rFonts w:hint="eastAsia"/>
          <w:color w:val="auto"/>
        </w:rPr>
        <w:t xml:space="preserve">招标代理（下称代理人）：招标人委托金湖易采项目管理有限公司负责代理本次招标的相关事宜。</w:t>
      </w:r>
      <w:r/>
    </w:p>
    <w:p>
      <w:pPr>
        <w:pStyle w:val="840"/>
        <w:numPr>
          <w:ilvl w:val="0"/>
          <w:numId w:val="0"/>
        </w:numPr>
        <w:ind w:firstLine="480"/>
        <w:keepNext w:val="0"/>
        <w:pageBreakBefore w:val="0"/>
        <w:spacing w:before="0" w:beforeAutospacing="0" w:after="0" w:afterAutospacing="0" w:line="360" w:lineRule="auto"/>
        <w:rPr>
          <w:rFonts w:hint="eastAsia"/>
          <w:color w:val="auto"/>
          <w:highlight w:val="none"/>
          <w:lang w:eastAsia="zh-CN"/>
        </w:rPr>
      </w:pPr>
      <w:r>
        <w:rPr>
          <w:rFonts w:hint="eastAsia" w:cs="宋体"/>
          <w:color w:val="auto"/>
          <w:sz w:val="24"/>
          <w:szCs w:val="24"/>
          <w:highlight w:val="none"/>
          <w:lang w:val="en-US" w:eastAsia="zh-CN" w:bidi="ar-SA"/>
        </w:rPr>
        <w:t xml:space="preserve">5.</w:t>
      </w:r>
      <w:r>
        <w:rPr>
          <w:rFonts w:hint="eastAsia"/>
          <w:color w:val="auto"/>
          <w:highlight w:val="none"/>
        </w:rPr>
        <w:t xml:space="preserve">招标代理费：</w:t>
      </w:r>
      <w:r>
        <w:rPr>
          <w:rFonts w:hint="eastAsia"/>
          <w:color w:val="auto"/>
          <w:highlight w:val="none"/>
          <w:lang w:val="zh-CN" w:eastAsia="zh-CN"/>
        </w:rPr>
        <w:t xml:space="preserve">参照苏招协[2022]002号文件规定标准的</w:t>
      </w:r>
      <w:r>
        <w:rPr>
          <w:rFonts w:hint="eastAsia"/>
          <w:color w:val="auto"/>
          <w:highlight w:val="none"/>
          <w:lang w:val="en-US" w:eastAsia="zh-CN"/>
        </w:rPr>
        <w:t xml:space="preserve">85</w:t>
      </w:r>
      <w:r>
        <w:rPr>
          <w:rFonts w:hint="eastAsia"/>
          <w:color w:val="auto"/>
          <w:highlight w:val="none"/>
          <w:lang w:val="zh-CN" w:eastAsia="zh-CN"/>
        </w:rPr>
        <w:t xml:space="preserve">%为此次项目的招标代理费</w:t>
      </w:r>
      <w:r>
        <w:rPr>
          <w:rFonts w:hint="eastAsia"/>
          <w:color w:val="auto"/>
          <w:highlight w:val="none"/>
          <w:lang w:eastAsia="zh-CN"/>
        </w:rPr>
        <w:t xml:space="preserve">，</w:t>
      </w:r>
      <w:r>
        <w:rPr>
          <w:rFonts w:hint="eastAsia"/>
          <w:color w:val="auto"/>
          <w:highlight w:val="none"/>
          <w:lang w:val="zh-CN" w:eastAsia="zh-CN"/>
        </w:rPr>
        <w:t xml:space="preserve">应在中标通知书发放后</w:t>
      </w:r>
      <w:r>
        <w:rPr>
          <w:rFonts w:hint="eastAsia"/>
          <w:color w:val="auto"/>
          <w:highlight w:val="none"/>
          <w:lang w:val="en-US" w:eastAsia="zh-CN"/>
        </w:rPr>
        <w:t xml:space="preserve">五个工作日内</w:t>
      </w:r>
      <w:r>
        <w:rPr>
          <w:rFonts w:hint="eastAsia"/>
          <w:color w:val="auto"/>
          <w:highlight w:val="none"/>
          <w:lang w:eastAsia="zh-CN"/>
        </w:rPr>
        <w:t xml:space="preserve">向</w:t>
      </w:r>
      <w:r>
        <w:rPr>
          <w:rFonts w:hint="eastAsia"/>
          <w:color w:val="auto"/>
          <w:highlight w:val="none"/>
        </w:rPr>
        <w:t xml:space="preserve">招标代理</w:t>
      </w:r>
      <w:r>
        <w:rPr>
          <w:rFonts w:hint="eastAsia"/>
          <w:color w:val="auto"/>
          <w:highlight w:val="none"/>
          <w:lang w:eastAsia="zh-CN"/>
        </w:rPr>
        <w:t xml:space="preserve">一次性缴纳</w:t>
      </w:r>
      <w:r>
        <w:rPr>
          <w:rFonts w:hint="eastAsia"/>
          <w:color w:val="auto"/>
          <w:highlight w:val="none"/>
        </w:rPr>
        <w:t xml:space="preserve">招标代理费</w:t>
      </w:r>
      <w:r>
        <w:rPr>
          <w:rFonts w:hint="eastAsia"/>
          <w:color w:val="auto"/>
          <w:highlight w:val="none"/>
          <w:lang w:eastAsia="zh-CN"/>
        </w:rPr>
        <w:t xml:space="preserve">。此费用包含在投标报价中，不单独列项。</w:t>
      </w:r>
      <w:r/>
    </w:p>
    <w:p>
      <w:pPr>
        <w:pStyle w:val="840"/>
        <w:numPr>
          <w:ilvl w:val="0"/>
          <w:numId w:val="0"/>
        </w:numPr>
        <w:ind w:firstLine="482"/>
        <w:keepNext w:val="0"/>
        <w:pageBreakBefore w:val="0"/>
        <w:spacing w:before="0" w:beforeAutospacing="0" w:after="0" w:afterAutospacing="0" w:line="360" w:lineRule="auto"/>
        <w:rPr>
          <w:rFonts w:hint="eastAsia"/>
          <w:color w:val="auto"/>
          <w:highlight w:val="none"/>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w:t>
      </w:r>
      <w:r>
        <w:rPr>
          <w:rFonts w:hint="eastAsia" w:cs="宋体"/>
          <w:b/>
          <w:bCs/>
          <w:color w:val="auto"/>
          <w:sz w:val="24"/>
          <w:szCs w:val="24"/>
          <w:highlight w:val="none"/>
          <w:lang w:eastAsia="zh-CN"/>
        </w:rPr>
        <w:t xml:space="preserve">〔2023〕33号）</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pStyle w:val="840"/>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根据省财政厅《关于更换全省政府采购交易系统CA数字证书和电子签章的通知》（苏财购〔2023〕101号），</w:t>
      </w:r>
      <w:r>
        <w:rPr>
          <w:rFonts w:hint="eastAsia" w:cs="宋体"/>
          <w:color w:val="auto"/>
          <w:highlight w:val="none"/>
          <w:lang w:eastAsia="zh-CN"/>
        </w:rPr>
        <w:t xml:space="preserve">“</w:t>
      </w:r>
      <w:r>
        <w:rPr>
          <w:rFonts w:hint="eastAsia" w:ascii="宋体" w:hAnsi="宋体" w:eastAsia="宋体" w:cs="宋体"/>
          <w:color w:val="auto"/>
          <w:highlight w:val="none"/>
        </w:rPr>
        <w:t xml:space="preserve">苏采云</w:t>
      </w:r>
      <w:r>
        <w:rPr>
          <w:rFonts w:hint="eastAsia" w:cs="宋体"/>
          <w:color w:val="auto"/>
          <w:highlight w:val="none"/>
          <w:lang w:eastAsia="zh-CN"/>
        </w:rPr>
        <w:t xml:space="preserve">”</w:t>
      </w:r>
      <w:r>
        <w:rPr>
          <w:rFonts w:hint="eastAsia" w:ascii="宋体" w:hAnsi="宋体" w:eastAsia="宋体" w:cs="宋体"/>
          <w:color w:val="auto"/>
          <w:highlight w:val="none"/>
        </w:rPr>
        <w:t xml:space="preserve">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cs="宋体"/>
          <w:color w:val="auto"/>
          <w:highlight w:val="none"/>
          <w:lang w:eastAsia="zh-CN"/>
        </w:rPr>
        <w:t xml:space="preserve">http://www.ccgp-jiangsu.gov.cn/jiangsu/zlxz/ee/ee3a4bc5a3454aa2b0d9312230633ce9.html</w:t>
      </w:r>
      <w:r>
        <w:rPr>
          <w:rFonts w:hint="eastAsia" w:ascii="宋体" w:hAnsi="宋体" w:eastAsia="宋体" w:cs="宋体"/>
          <w:color w:val="auto"/>
          <w:highlight w:val="none"/>
        </w:rPr>
        <w:t xml:space="preserve">。</w:t>
      </w:r>
      <w:r/>
    </w:p>
    <w:p>
      <w:pPr>
        <w:pStyle w:val="840"/>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sz w:val="24"/>
          <w:szCs w:val="24"/>
          <w:highlight w:val="none"/>
          <w:lang w:val="en-US" w:eastAsia="zh-CN" w:bidi="ar-SA"/>
        </w:rPr>
        <w:t xml:space="preserve">7.</w:t>
      </w:r>
      <w:r>
        <w:rPr>
          <w:rFonts w:hint="eastAsia" w:ascii="宋体" w:hAnsi="宋体" w:eastAsia="宋体" w:cs="宋体"/>
          <w:color w:val="auto"/>
          <w:highlight w:val="none"/>
        </w:rPr>
        <w:t xml:space="preserve">领取CA和办理电子签章</w:t>
      </w:r>
      <w:r>
        <w:rPr>
          <w:rFonts w:hint="eastAsia" w:cs="宋体"/>
          <w:color w:val="auto"/>
          <w:highlight w:val="none"/>
          <w:lang w:eastAsia="zh-CN"/>
        </w:rPr>
        <w:t xml:space="preserve">，</w:t>
      </w:r>
      <w:r>
        <w:rPr>
          <w:rFonts w:hint="eastAsia" w:ascii="宋体" w:hAnsi="宋体" w:eastAsia="宋体" w:cs="宋体"/>
          <w:color w:val="auto"/>
          <w:highlight w:val="none"/>
        </w:rPr>
        <w:t xml:space="preserve">请至淮安市清江浦区深圳路16号淮安市公共资源交易中心二楼13号CA办理窗口办理，具体联系方式见《苏采云系统</w:t>
      </w:r>
      <w:r>
        <w:rPr>
          <w:rFonts w:hint="eastAsia" w:cs="宋体"/>
          <w:color w:val="auto"/>
          <w:highlight w:val="none"/>
          <w:lang w:eastAsia="zh-CN"/>
        </w:rPr>
        <w:t xml:space="preserve">供应商</w:t>
      </w:r>
      <w:r>
        <w:rPr>
          <w:rFonts w:hint="eastAsia" w:ascii="宋体" w:hAnsi="宋体" w:eastAsia="宋体" w:cs="宋体"/>
          <w:color w:val="auto"/>
          <w:highlight w:val="none"/>
        </w:rPr>
        <w:t xml:space="preserve">操作手册》（以下简称《操作手册》）、进行注册并按《操作手册》要求制作、上传电子</w:t>
      </w:r>
      <w:r>
        <w:rPr>
          <w:rFonts w:hint="eastAsia" w:cs="宋体"/>
          <w:color w:val="auto"/>
          <w:highlight w:val="none"/>
          <w:lang w:eastAsia="zh-CN"/>
        </w:rPr>
        <w:t xml:space="preserve">投标文件</w:t>
      </w:r>
      <w:r>
        <w:rPr>
          <w:rFonts w:hint="eastAsia" w:ascii="宋体" w:hAnsi="宋体" w:eastAsia="宋体" w:cs="宋体"/>
          <w:color w:val="auto"/>
          <w:highlight w:val="none"/>
        </w:rPr>
        <w:t xml:space="preserve">。</w:t>
      </w:r>
      <w:r/>
    </w:p>
    <w:p>
      <w:pPr>
        <w:pStyle w:val="840"/>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8.</w:t>
      </w:r>
      <w:r>
        <w:rPr>
          <w:rFonts w:hint="eastAsia" w:ascii="宋体" w:hAnsi="宋体" w:eastAsia="宋体" w:cs="宋体"/>
          <w:color w:val="auto"/>
          <w:highlight w:val="none"/>
        </w:rPr>
        <w:t xml:space="preserve">有关本次招标的事项若存在变动或修改，敬请及时关注</w:t>
      </w:r>
      <w:r>
        <w:rPr>
          <w:rFonts w:hint="eastAsia" w:cs="宋体"/>
          <w:color w:val="auto"/>
          <w:highlight w:val="none"/>
          <w:lang w:eastAsia="zh-CN"/>
        </w:rPr>
        <w:t xml:space="preserve">招标人</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在</w:t>
      </w:r>
      <w:r>
        <w:rPr>
          <w:rFonts w:hint="eastAsia" w:cs="宋体"/>
          <w:color w:val="auto"/>
          <w:highlight w:val="none"/>
          <w:lang w:eastAsia="zh-CN"/>
        </w:rPr>
        <w:t xml:space="preserve">“</w:t>
      </w:r>
      <w:r>
        <w:rPr>
          <w:rFonts w:hint="eastAsia" w:ascii="宋体" w:hAnsi="宋体" w:eastAsia="宋体" w:cs="宋体"/>
          <w:color w:val="auto"/>
          <w:highlight w:val="none"/>
        </w:rPr>
        <w:t xml:space="preserve">淮安市政府采购网</w:t>
      </w:r>
      <w:r>
        <w:rPr>
          <w:rFonts w:hint="eastAsia" w:cs="宋体"/>
          <w:color w:val="auto"/>
          <w:highlight w:val="none"/>
          <w:lang w:eastAsia="zh-CN"/>
        </w:rPr>
        <w:t xml:space="preserve">”“</w:t>
      </w:r>
      <w:r>
        <w:rPr>
          <w:rFonts w:hint="eastAsia" w:cs="宋体"/>
          <w:color w:val="auto"/>
          <w:sz w:val="24"/>
          <w:highlight w:val="none"/>
          <w:lang w:eastAsia="zh-CN"/>
        </w:rPr>
        <w:t xml:space="preserve">江苏政府采购网”</w:t>
      </w:r>
      <w:r>
        <w:rPr>
          <w:rFonts w:hint="eastAsia" w:ascii="宋体" w:hAnsi="宋体" w:eastAsia="宋体" w:cs="宋体"/>
          <w:color w:val="auto"/>
          <w:highlight w:val="none"/>
        </w:rPr>
        <w:t xml:space="preserve">发布的更正公告。</w:t>
      </w:r>
      <w:r/>
    </w:p>
    <w:p>
      <w:pPr>
        <w:pStyle w:val="1073"/>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八</w:t>
      </w:r>
      <w:r>
        <w:rPr>
          <w:rFonts w:hint="eastAsia" w:ascii="宋体" w:hAnsi="宋体" w:eastAsia="宋体" w:cs="宋体"/>
          <w:b/>
          <w:bCs/>
          <w:color w:val="auto"/>
          <w:szCs w:val="24"/>
          <w:lang w:val="en-US"/>
        </w:rPr>
        <w:t xml:space="preserve">、凡对本次采购提出询问，请按以下方式联系</w:t>
      </w:r>
      <w:r/>
    </w:p>
    <w:p>
      <w:pPr>
        <w:ind w:firstLine="482"/>
        <w:keepNext w:val="0"/>
        <w:pageBreakBefore w:val="0"/>
        <w:spacing w:line="360" w:lineRule="auto"/>
        <w:rPr>
          <w:rFonts w:hint="eastAsia" w:ascii="宋体" w:hAnsi="宋体" w:cs="宋体"/>
          <w:b/>
          <w:bCs/>
          <w:color w:val="auto"/>
          <w:sz w:val="24"/>
        </w:rPr>
      </w:pPr>
      <w:r>
        <w:rPr>
          <w:rFonts w:hint="eastAsia" w:ascii="宋体" w:hAnsi="宋体" w:cs="宋体"/>
          <w:b/>
          <w:bCs/>
          <w:color w:val="auto"/>
          <w:sz w:val="24"/>
        </w:rPr>
        <w:t xml:space="preserve">1</w:t>
      </w:r>
      <w:r>
        <w:rPr>
          <w:rFonts w:hint="eastAsia" w:ascii="宋体" w:hAnsi="宋体" w:cs="宋体"/>
          <w:b/>
          <w:bCs/>
          <w:color w:val="auto"/>
          <w:sz w:val="24"/>
          <w:lang w:val="en-US" w:eastAsia="zh-CN"/>
        </w:rPr>
        <w:t xml:space="preserve">.</w:t>
      </w:r>
      <w:r>
        <w:rPr>
          <w:rFonts w:hint="eastAsia" w:ascii="宋体" w:hAnsi="宋体" w:cs="宋体"/>
          <w:b/>
          <w:bCs/>
          <w:color w:val="auto"/>
          <w:sz w:val="24"/>
          <w:lang w:eastAsia="zh-CN"/>
        </w:rPr>
        <w:t xml:space="preserve">招标人</w:t>
      </w:r>
      <w:r>
        <w:rPr>
          <w:rFonts w:hint="eastAsia" w:ascii="宋体" w:hAnsi="宋体" w:cs="宋体"/>
          <w:b/>
          <w:bCs/>
          <w:color w:val="auto"/>
          <w:sz w:val="24"/>
        </w:rPr>
        <w:t xml:space="preserve">信息</w:t>
      </w:r>
      <w:r/>
    </w:p>
    <w:p>
      <w:pPr>
        <w:pStyle w:val="1073"/>
        <w:ind w:firstLine="480"/>
        <w:keepNext w:val="0"/>
        <w:pageBreakBefore w:val="0"/>
        <w:spacing w:line="360"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名称：</w:t>
      </w:r>
      <w:r>
        <w:rPr>
          <w:rFonts w:hint="eastAsia" w:ascii="宋体" w:hAnsi="宋体" w:eastAsia="宋体" w:cs="宋体"/>
          <w:color w:val="auto"/>
          <w:szCs w:val="24"/>
          <w:lang w:val="en-US" w:eastAsia="zh-CN"/>
        </w:rPr>
        <w:t xml:space="preserve">金湖县住房和城乡建设局</w:t>
      </w:r>
      <w:r/>
    </w:p>
    <w:p>
      <w:pPr>
        <w:pStyle w:val="1073"/>
        <w:ind w:firstLine="480"/>
        <w:keepNext w:val="0"/>
        <w:pageBreakBefore w:val="0"/>
        <w:spacing w:line="360"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地址：金湖县</w:t>
      </w:r>
      <w:r/>
    </w:p>
    <w:p>
      <w:pPr>
        <w:numPr>
          <w:ilvl w:val="0"/>
          <w:numId w:val="0"/>
        </w:numPr>
        <w:ind w:firstLine="48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联系方式：丁工  </w:t>
      </w:r>
      <w:r/>
    </w:p>
    <w:p>
      <w:pPr>
        <w:numPr>
          <w:ilvl w:val="0"/>
          <w:numId w:val="0"/>
        </w:numPr>
        <w:ind w:firstLine="48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电话：13852312695</w:t>
      </w:r>
      <w:r/>
    </w:p>
    <w:p>
      <w:pPr>
        <w:numPr>
          <w:ilvl w:val="0"/>
          <w:numId w:val="0"/>
        </w:numPr>
        <w:ind w:firstLine="482"/>
        <w:keepNext w:val="0"/>
        <w:pageBreakBefore w:val="0"/>
        <w:spacing w:line="360" w:lineRule="auto"/>
        <w:rPr>
          <w:rFonts w:hint="eastAsia" w:ascii="宋体" w:hAnsi="宋体" w:cs="宋体"/>
          <w:b/>
          <w:bCs/>
          <w:color w:val="auto"/>
          <w:sz w:val="24"/>
        </w:rPr>
      </w:pPr>
      <w:r>
        <w:rPr>
          <w:rFonts w:hint="eastAsia" w:ascii="宋体" w:hAnsi="宋体" w:cs="宋体"/>
          <w:b/>
          <w:bCs/>
          <w:color w:val="auto"/>
          <w:sz w:val="24"/>
          <w:szCs w:val="24"/>
          <w:lang w:val="en-US" w:eastAsia="zh-CN" w:bidi="ar-SA"/>
        </w:rPr>
        <w:t xml:space="preserve">2.招标</w:t>
      </w:r>
      <w:r>
        <w:rPr>
          <w:rFonts w:hint="eastAsia" w:ascii="宋体" w:hAnsi="宋体" w:cs="宋体"/>
          <w:b/>
          <w:bCs/>
          <w:color w:val="auto"/>
          <w:sz w:val="24"/>
        </w:rPr>
        <w:t xml:space="preserve">代理机构信息</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名称：</w:t>
      </w:r>
      <w:r>
        <w:rPr>
          <w:rFonts w:hint="eastAsia" w:ascii="宋体" w:hAnsi="宋体" w:cs="宋体"/>
          <w:color w:val="auto"/>
          <w:sz w:val="24"/>
          <w:lang w:eastAsia="zh-CN"/>
        </w:rPr>
        <w:t xml:space="preserve">金湖易采项目管理有限公司</w:t>
      </w:r>
      <w:r>
        <w:rPr>
          <w:rFonts w:hint="eastAsia" w:ascii="宋体" w:hAnsi="宋体" w:cs="宋体"/>
          <w:color w:val="auto"/>
          <w:sz w:val="24"/>
        </w:rPr>
        <w:t xml:space="preserve"> </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地址：金湖县园林南路288号市民中心三楼北中庭业务一部</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谢工</w:t>
      </w:r>
      <w:r/>
    </w:p>
    <w:p>
      <w:pPr>
        <w:ind w:firstLine="480"/>
        <w:keepNext w:val="0"/>
        <w:pageBreakBefore w:val="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w:t>
      </w:r>
      <w:r>
        <w:rPr>
          <w:rFonts w:hint="eastAsia" w:ascii="宋体" w:hAnsi="宋体" w:eastAsia="宋体" w:cs="宋体"/>
          <w:color w:val="auto"/>
          <w:sz w:val="24"/>
          <w:lang w:val="en-US" w:eastAsia="zh-CN"/>
        </w:rPr>
        <w:t xml:space="preserve">电话</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18036514638</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项目联系方式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lang w:eastAsia="zh-CN"/>
        </w:rP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伍</w:t>
      </w:r>
      <w:r>
        <w:rPr>
          <w:rFonts w:hint="eastAsia" w:ascii="宋体" w:hAnsi="宋体" w:cs="宋体"/>
          <w:color w:val="auto"/>
          <w:sz w:val="24"/>
          <w:lang w:eastAsia="zh-CN"/>
        </w:rPr>
        <w:t xml:space="preserve">工</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联系</w:t>
      </w:r>
      <w:r>
        <w:rPr>
          <w:rFonts w:hint="eastAsia" w:ascii="宋体" w:hAnsi="宋体" w:cs="宋体"/>
          <w:color w:val="auto"/>
          <w:sz w:val="24"/>
        </w:rPr>
        <w:t xml:space="preserve">电话：</w:t>
      </w:r>
      <w:r>
        <w:rPr>
          <w:rFonts w:hint="eastAsia" w:ascii="宋体" w:hAnsi="宋体" w:cs="宋体"/>
          <w:color w:val="auto"/>
          <w:sz w:val="24"/>
          <w:lang w:val="en-US" w:eastAsia="zh-CN"/>
        </w:rPr>
        <w:t xml:space="preserve">86986001</w:t>
      </w:r>
      <w:bookmarkEnd w:id="2"/>
      <w:r/>
      <w:bookmarkEnd w:id="3"/>
      <w:r/>
      <w:bookmarkEnd w:id="4"/>
      <w:r/>
      <w:bookmarkEnd w:id="5"/>
      <w:r/>
      <w:r/>
    </w:p>
    <w:p>
      <w:pPr>
        <w:keepNext w:val="0"/>
        <w:pageBreakBefore w:val="0"/>
        <w:spacing w:line="360" w:lineRule="auto"/>
        <w:rPr>
          <w:rFonts w:hint="eastAsia" w:ascii="宋体" w:hAnsi="宋体" w:eastAsia="宋体" w:cs="宋体"/>
          <w:b/>
          <w:bCs/>
          <w:color w:val="auto"/>
          <w:sz w:val="36"/>
          <w:szCs w:val="36"/>
        </w:rPr>
      </w:pPr>
      <w:r/>
      <w:bookmarkStart w:id="7" w:name="_Toc12470_WPSOffice_Level1"/>
      <w:r>
        <w:rPr>
          <w:rFonts w:hint="eastAsia" w:ascii="宋体" w:hAnsi="宋体" w:eastAsia="宋体" w:cs="宋体"/>
          <w:b/>
          <w:bCs/>
          <w:color w:val="auto"/>
          <w:sz w:val="36"/>
          <w:szCs w:val="36"/>
        </w:rPr>
        <w:br w:type="page" w:clear="all"/>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第二章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lang w:eastAsia="zh-CN"/>
        </w:rPr>
        <w:t xml:space="preserve">投标人</w:t>
      </w:r>
      <w:r>
        <w:rPr>
          <w:rFonts w:hint="eastAsia" w:ascii="宋体" w:hAnsi="宋体" w:eastAsia="宋体" w:cs="宋体"/>
          <w:b/>
          <w:bCs/>
          <w:color w:val="auto"/>
          <w:sz w:val="36"/>
          <w:szCs w:val="36"/>
        </w:rPr>
        <w:t xml:space="preserve">须知</w:t>
      </w:r>
      <w:bookmarkEnd w:id="7"/>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政府采购非招标采购方式管理办法》等有关法律、规章和规定等。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4.2招标代理（下称代理机构）：招标人委托金湖易采项目管理有限公司负责代理本项目的相关事宜。</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eastAsia="zh-CN"/>
        </w:rPr>
        <w:t xml:space="preserve">应在中标通知书发放后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7.1在投标截止时间十五日前，招标人（代理机构）可主动或在解答投标人提出的澄清问题时对招标文件用更正公告的方式进行修正。</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7.3为使投标人有足够的时间按招标文件的更正要求修正投标文件，招标人（代理机构）有权按照相关法定的要求推迟投标截止时间和开标日期。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9.1投标人必须按照招标文件中提供的开标一览表的规定格式完整、清晰、正确填写</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w:t>
      </w:r>
      <w:r>
        <w:rPr>
          <w:rFonts w:hint="eastAsia" w:ascii="宋体" w:hAnsi="宋体" w:eastAsia="宋体" w:cs="宋体"/>
          <w:color w:val="auto"/>
          <w:sz w:val="24"/>
          <w:szCs w:val="24"/>
        </w:rPr>
        <w:t xml:space="preserve">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9.2开标一览表中不得填报有选择性报价方案，表中内容应与投标文件中的内容完全</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致，如不一致的，以开标一览</w:t>
      </w:r>
      <w:r>
        <w:rPr>
          <w:rFonts w:hint="eastAsia" w:ascii="宋体" w:hAnsi="宋体" w:cs="宋体"/>
          <w:color w:val="auto"/>
          <w:sz w:val="24"/>
          <w:szCs w:val="24"/>
          <w:lang w:eastAsia="zh-CN"/>
        </w:rPr>
        <w:t xml:space="preserve">表内</w:t>
      </w:r>
      <w:r>
        <w:rPr>
          <w:rFonts w:hint="eastAsia" w:ascii="宋体" w:hAnsi="宋体" w:eastAsia="宋体" w:cs="宋体"/>
          <w:color w:val="auto"/>
          <w:sz w:val="24"/>
          <w:szCs w:val="24"/>
        </w:rPr>
        <w:t xml:space="preserve">容为准。</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10.4.1价格一律以人民币计算，以元为单位标准；</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11.技术要求响应偏离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11.1投标人应对招标文件中的技术要求逐项作出响应或偏离，否则该投标将被拒绝。</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.投标保证金</w:t>
      </w:r>
      <w:r/>
    </w:p>
    <w:p>
      <w:pPr>
        <w:ind w:left="0" w:right="0" w:firstLine="482"/>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.1本项目无需投标保证金。</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.投标有效期</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.1投标有效期为从开标之日起计算的九十天。投标有效期比规定短的将被视为非响应</w:t>
      </w:r>
      <w:r/>
    </w:p>
    <w:p>
      <w:pPr>
        <w:ind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投标而予以拒绝</w:t>
      </w:r>
      <w:r>
        <w:rPr>
          <w:rFonts w:hint="eastAsia" w:ascii="宋体" w:hAnsi="宋体" w:eastAsia="宋体" w:cs="宋体"/>
          <w:color w:val="auto"/>
          <w:sz w:val="24"/>
          <w:szCs w:val="24"/>
          <w:lang w:val="zh-CN"/>
        </w:rPr>
        <w:t xml:space="preserve">。</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在特殊情况下，招标人（代理机构）于原投标有效期满之前，可向投标人提出延长投标有效期的要求，这种要求与答复均应采用书面形式如信件、传真或电报等。投标人可以拒绝接受这一要求而放弃投标，同意延长的投标既不能要求也不允许修改其投标文件，同时受投标有效期约束的所有权利与义务均延长至新的有效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投标文件的签署</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投标人应严格按照投标人须知第8条的要求编制投标文件</w:t>
      </w:r>
      <w:r>
        <w:rPr>
          <w:rFonts w:hint="eastAsia" w:ascii="宋体" w:hAnsi="宋体" w:eastAsia="宋体" w:cs="宋体"/>
          <w:color w:val="auto"/>
          <w:sz w:val="24"/>
          <w:szCs w:val="24"/>
        </w:rPr>
        <w:t xml:space="preserve">。</w:t>
      </w:r>
      <w:r/>
    </w:p>
    <w:p>
      <w:pPr>
        <w:ind w:left="0" w:right="0" w:firstLine="54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15.2投标文件应在投标人进行签章的位置</w:t>
      </w:r>
      <w:r>
        <w:rPr>
          <w:rFonts w:hint="eastAsia" w:ascii="宋体" w:hAnsi="宋体" w:cs="宋体"/>
          <w:color w:val="auto"/>
          <w:sz w:val="24"/>
          <w:szCs w:val="24"/>
          <w:highlight w:val="none"/>
          <w:lang w:val="en-US" w:eastAsia="zh-CN"/>
        </w:rPr>
        <w:t xml:space="preserve">进行电子签章</w:t>
      </w:r>
      <w:r>
        <w:rPr>
          <w:rFonts w:hint="eastAsia" w:ascii="宋体" w:hAnsi="宋体" w:cs="宋体"/>
          <w:color w:val="auto"/>
          <w:sz w:val="24"/>
          <w:szCs w:val="24"/>
          <w:lang w:val="en-US" w:eastAsia="zh-CN"/>
        </w:rPr>
        <w:t xml:space="preserve">。电子投标文件不得涂改、行间插字或删除，如果出现上述情况应重新编制。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的递交</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b w:val="0"/>
          <w:bCs w:val="0"/>
          <w:color w:val="auto"/>
          <w:sz w:val="24"/>
          <w:lang w:eastAsia="zh-CN"/>
        </w:rPr>
        <w:t xml:space="preserve">响应文件的递交及接收截止时间</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.2</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上传的电子响应文件内容不清楚或不清晰的（含扫描件），造成无法评审或部分影响评审的，责任由</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自负</w:t>
      </w:r>
      <w:r>
        <w:rPr>
          <w:rFonts w:hint="eastAsia" w:ascii="宋体" w:hAnsi="宋体" w:eastAsia="宋体" w:cs="宋体"/>
          <w:bCs/>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上传电子响应文件的时间不得迟于投标邀请中规定的截止时间。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rPr>
        <w:t xml:space="preserve">。</w:t>
      </w:r>
      <w:r/>
    </w:p>
    <w:p>
      <w:pPr>
        <w:ind w:left="0" w:right="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.投标文件被拒绝接收的情形</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17.1</w:t>
      </w:r>
      <w:r>
        <w:rPr>
          <w:rFonts w:hint="eastAsia" w:ascii="宋体" w:hAnsi="宋体" w:cs="宋体"/>
          <w:color w:val="auto"/>
          <w:sz w:val="24"/>
          <w:lang w:eastAsia="zh-CN"/>
        </w:rPr>
        <w:t xml:space="preserve">在招标文件规定的投标截止时间后上传的电子投标文件</w:t>
      </w:r>
      <w:r>
        <w:rPr>
          <w:rFonts w:hint="eastAsia" w:ascii="宋体" w:hAnsi="宋体" w:cs="宋体"/>
          <w:color w:val="auto"/>
          <w:sz w:val="24"/>
        </w:rPr>
        <w:t xml:space="preserve">。</w:t>
      </w:r>
      <w:r/>
    </w:p>
    <w:p>
      <w:pPr>
        <w:ind w:left="0" w:righ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投标文件的修改和撤回</w:t>
      </w:r>
      <w:r/>
    </w:p>
    <w:p>
      <w:pPr>
        <w:ind w:firstLine="54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.1投标人在递交投标文件后可以对其修改或撤回，但这种修改和撤回，必须在规定的投标截止时间前</w:t>
      </w:r>
      <w:r>
        <w:rPr>
          <w:rFonts w:hint="eastAsia" w:ascii="宋体" w:hAnsi="宋体"/>
          <w:color w:val="auto"/>
          <w:sz w:val="24"/>
          <w:szCs w:val="21"/>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18.2</w:t>
      </w:r>
      <w:r>
        <w:rPr>
          <w:rFonts w:hint="eastAsia" w:ascii="宋体" w:hAnsi="宋体"/>
          <w:color w:val="auto"/>
          <w:sz w:val="24"/>
          <w:szCs w:val="21"/>
          <w:highlight w:val="none"/>
        </w:rPr>
        <w:t xml:space="preserve">对于电子投标文件的修改，投标人可在投标截止时间前，撤回其电子投标文件，具体操作方法见《操作手册》</w:t>
      </w:r>
      <w:r>
        <w:rPr>
          <w:rFonts w:hint="eastAsia" w:ascii="宋体" w:hAnsi="宋体"/>
          <w:bCs/>
          <w:color w:val="auto"/>
          <w:sz w:val="24"/>
          <w:szCs w:val="21"/>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.3</w:t>
      </w:r>
      <w:r>
        <w:rPr>
          <w:rFonts w:hint="eastAsia" w:ascii="宋体" w:hAnsi="宋体" w:cs="宋体"/>
          <w:color w:val="auto"/>
          <w:sz w:val="24"/>
        </w:rPr>
        <w:t xml:space="preserve">投标人不得在投标截止时间以后修改投标文件。投标人撤回电子投标文件，则认为其不再参与本项目投标活动。</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五、开标及评标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.1</w:t>
      </w:r>
      <w:r>
        <w:rPr>
          <w:rFonts w:hint="eastAsia" w:ascii="宋体" w:hAnsi="宋体" w:cs="宋体"/>
          <w:color w:val="auto"/>
          <w:sz w:val="24"/>
          <w:highlight w:val="none"/>
          <w:lang w:eastAsia="zh-CN"/>
        </w:rPr>
        <w:t xml:space="preserve">招标人（代理机构）将在招标公告中规定的时间和地点组织公开开标。投标人应当按照《操作手册》规定，参加开标活动和在苏采云系统规定的时间内对投标文件进行解密。</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.2开标仪式由</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（代理机构）组织。苏采云系统将自动对项目进行开标，并宣布各投标人名称和投标价格。</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5投标截止时间结束后参加投标的投标人不足三家情况的，除采购任务取消情形外</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按财政部令第87号第四十三条条款进行处理</w:t>
      </w:r>
      <w:r>
        <w:rPr>
          <w:rFonts w:hint="eastAsia" w:ascii="宋体" w:hAnsi="宋体" w:eastAsia="宋体" w:cs="宋体"/>
          <w:color w:val="auto"/>
          <w:sz w:val="24"/>
          <w:highlight w:val="none"/>
          <w:lang w:val="zh-CN"/>
        </w:rPr>
        <w:t xml:space="preserve">。</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.评标</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评标组织</w:t>
      </w:r>
      <w:r/>
    </w:p>
    <w:p>
      <w:pPr>
        <w:ind w:left="0" w:right="0"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.1.1评标工作由招标人（代理机构）负责组织，具体评标事务由依法组建的评标委员会负责，并独立履行下列职责</w:t>
      </w:r>
      <w:r>
        <w:rPr>
          <w:rFonts w:hint="eastAsia" w:ascii="宋体" w:hAnsi="宋体" w:cs="宋体"/>
          <w:color w:val="auto"/>
          <w:sz w:val="24"/>
          <w:szCs w:val="24"/>
          <w:lang w:eastAsia="zh-CN"/>
        </w:rPr>
        <w:t xml:space="preserve">：</w:t>
      </w:r>
      <w:r/>
    </w:p>
    <w:p>
      <w:pPr>
        <w:numPr>
          <w:ilvl w:val="0"/>
          <w:numId w:val="4"/>
        </w:numPr>
        <w:ind w:left="0" w:right="0" w:firstLine="480"/>
        <w:keepLines w:val="0"/>
        <w:keepNext w:val="0"/>
        <w:pageBreakBefore w:val="0"/>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审查、评价投标文件是否符合招标文件的商务、技术等实质性要求；</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要求投标人对投标文件有关事项作出澄清或者说明；</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对投标文件进行比较和评价；</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确定中标候选人名单，根据招标人委托协议直接确定中标人；</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向招标人、财政部门报告评标中发现的违法行为。</w:t>
      </w:r>
      <w:r/>
    </w:p>
    <w:p>
      <w:pPr>
        <w:numPr>
          <w:ilvl w:val="0"/>
          <w:numId w:val="0"/>
        </w:numPr>
        <w:ind w:left="0" w:right="0" w:firstLine="480"/>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20.1.2评标委员会由招标人代表和有关技术、经济等方面的专家组成，独立开展评审</w:t>
      </w:r>
      <w:r>
        <w:rPr>
          <w:rFonts w:hint="eastAsia" w:ascii="宋体" w:hAnsi="宋体" w:cs="宋体"/>
          <w:color w:val="auto"/>
          <w:sz w:val="24"/>
          <w:szCs w:val="24"/>
          <w:lang w:val="en-US" w:eastAsia="zh-CN"/>
        </w:rPr>
        <w:t xml:space="preserve">工</w:t>
      </w:r>
      <w:r>
        <w:rPr>
          <w:rFonts w:hint="eastAsia" w:ascii="宋体" w:hAnsi="宋体" w:cs="宋体"/>
          <w:color w:val="auto"/>
          <w:sz w:val="24"/>
          <w:szCs w:val="24"/>
          <w:lang w:val="zh-CN"/>
        </w:rPr>
        <w:t xml:space="preserve">作。</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.2</w:t>
      </w:r>
      <w:r>
        <w:rPr>
          <w:rFonts w:hint="eastAsia" w:ascii="宋体" w:hAnsi="宋体" w:cs="宋体"/>
          <w:bCs/>
          <w:color w:val="auto"/>
          <w:sz w:val="24"/>
          <w:szCs w:val="24"/>
          <w:lang w:eastAsia="zh-CN"/>
        </w:rPr>
        <w:t xml:space="preserve">评标程序</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.2.1投标文件的资格审查</w:t>
      </w:r>
      <w:r>
        <w:rPr>
          <w:rFonts w:hint="eastAsia" w:ascii="宋体" w:hAnsi="宋体" w:eastAsia="宋体" w:cs="宋体"/>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20.2.1.1招标人将依法根据招标文件对投标人的资格进行审查。</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20.2.1.2资格性审查</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依据法律法规和招标文件的规定，对投标文件中的资格证明文件、投标保证金等进行审查，以确定投标人是否具备投标资格。</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20.2.1.3在进行资格性审查的同时，将在“信用中国”网站、</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中国政府采购网</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对投标人是否被列入失信被执行人、重大税收违法案件当事人名单、政府采购严重违法失信行为记录名单的情况进行查询，决定投标人是否具备投标资格。查询结果将以网页打印的形式留存并归档。</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20.2.1.4投标文件有下列情况之一的，在资格性审查时按照无效投标处理</w:t>
      </w:r>
      <w:r>
        <w:rPr>
          <w:rFonts w:hint="eastAsia" w:ascii="宋体" w:hAnsi="宋体" w:cs="宋体"/>
          <w:color w:val="auto"/>
          <w:sz w:val="24"/>
          <w:szCs w:val="24"/>
          <w:highlight w:val="none"/>
          <w:lang w:val="zh-CN"/>
        </w:rPr>
        <w:t xml:space="preserve">：</w:t>
      </w:r>
      <w:r/>
    </w:p>
    <w:p>
      <w:pPr>
        <w:numPr>
          <w:ilvl w:val="0"/>
          <w:numId w:val="5"/>
        </w:numPr>
        <w:ind w:left="0" w:right="0" w:firstLine="480"/>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不具备招标文件中规定的资格要求的；</w:t>
      </w:r>
      <w:r/>
    </w:p>
    <w:p>
      <w:pPr>
        <w:numPr>
          <w:ilvl w:val="0"/>
          <w:numId w:val="5"/>
        </w:numPr>
        <w:ind w:left="0" w:right="0" w:firstLine="480"/>
        <w:keepLines w:val="0"/>
        <w:keepNext w:val="0"/>
        <w:pageBreakBefore w:val="0"/>
        <w:spacing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highlight w:val="none"/>
          <w:lang w:val="zh-CN"/>
        </w:rPr>
        <w:t xml:space="preserve">投标人被“信用中国”网站列入失信被执行人或重大税收违法案件当事人名单或政府采购严重失信行为记录名单。</w:t>
      </w:r>
      <w:r/>
    </w:p>
    <w:p>
      <w:pPr>
        <w:numPr>
          <w:ilvl w:val="0"/>
          <w:numId w:val="0"/>
        </w:numPr>
        <w:ind w:left="0" w:right="0" w:firstLine="480"/>
        <w:jc w:val="left"/>
        <w:keepLines w:val="0"/>
        <w:keepNext w:val="0"/>
        <w:pageBreakBefore w:val="0"/>
        <w:spacing w:line="360" w:lineRule="auto"/>
        <w:widowControl w:val="off"/>
        <w:rPr>
          <w:rFonts w:hint="eastAsia"/>
          <w:color w:val="auto"/>
          <w:sz w:val="24"/>
          <w:szCs w:val="24"/>
          <w:lang w:val="zh-CN"/>
        </w:rPr>
      </w:pPr>
      <w:r>
        <w:rPr>
          <w:rFonts w:hint="eastAsia" w:ascii="宋体" w:hAnsi="宋体" w:cs="宋体"/>
          <w:color w:val="auto"/>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20.2.2投标文件的符合性审查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20.2.2.1评委会将依据法律法规和招标文件的规定，对投标文件的有效性、完整性和对招标文件的响应程度进行审查，以确定是否对招标文件的实质性要求作出响应。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20.2.2.2如果投标文件实质上没有响应招标文件的要求，评委会将予以拒绝，投标人不得通过修改或撤销</w:t>
      </w:r>
      <w:r>
        <w:rPr>
          <w:rFonts w:hint="eastAsia" w:ascii="宋体" w:hAnsi="宋体" w:cs="宋体"/>
          <w:color w:val="auto"/>
          <w:sz w:val="24"/>
          <w:szCs w:val="24"/>
          <w:highlight w:val="none"/>
          <w:lang w:val="en-US" w:eastAsia="zh-CN"/>
        </w:rPr>
        <w:t xml:space="preserve">不符</w:t>
      </w:r>
      <w:r>
        <w:rPr>
          <w:rFonts w:hint="eastAsia" w:ascii="宋体" w:hAnsi="宋体" w:eastAsia="宋体" w:cs="宋体"/>
          <w:color w:val="auto"/>
          <w:sz w:val="24"/>
          <w:szCs w:val="24"/>
          <w:highlight w:val="none"/>
          <w:lang w:val="en-US" w:eastAsia="zh-CN"/>
        </w:rPr>
        <w:t xml:space="preserve">合要求的偏离或保留而使其投标成为实质性响应的投标。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20.2.2.3评委会将对确定为实质性响应的投标进行进一步审核，看其是否有计算上或累加上的算术错误，修正错误的原则如下</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（4）总价金额与按单价汇总金额不一致的，以单价金额计算结果为准。同时出现两种以上错误的，按照前款规定的顺序修正。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20.2.2.4评委会将按上述修正错误的方法调整投标文件中的投标报价，调整后的价格应对投标人具有约束力。如果投标人不确认签字，其投标无效。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未通过资格审查或符合性审查的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，评审小组将在苏采云系统中告知未通过资格审查或符合性审查的原因，评审结束后，评审小组将不再告知未通过资格审查或符合性审查的原因。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20.2.2.5投标文件的澄清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20.2.2.5.1在评标期间，为有助于对投标文件的审查、评价和比较，评委会有权要求投标人对其投标文件中含义不明确、同类问题表述不一致或者有明显文字和计算错误的内容进行澄清。但并非对每个投标人都作澄清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20.2.2.5.2对投标文件中含义不明确、同类问题表述不一致或者明显文字错误的内容，评委会可以要求投标人作出必要的澄清、说明或者补正。需要</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进行澄清、说明和补正的，评委会将通过苏采云系统向</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发出“澄清要求函”，接到“澄清要求函”的供应商应当按照要求在苏采云系统中提交“澄清响应函”并加盖CA电子公章。澄清、说明和补正的内容作为投标文件的补充部分，具体操作方式见《操作手册》。投标人的澄清、说明、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20.2.2.6接到评委会澄清要求的投标人如未按第20.2.2.5条的规定做出澄清，将视为放弃该权利，其风险由投标人自行承担。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20.2.2.7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招标人或招标人委托评标委员会按照招标文件规定的方式确定一个投标人获得中标人推荐资格，招标文件未规定的采取随机抽取方式确定，其他同品牌投标人不作为中标候选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非单一产品采购项目，招标文件中将载明其中的核心产品，多家投标人提供的核心产品均为同一品牌相同的，按前两款规定处理。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20.2.2.8投标文件有下列情况之一的，在符合性审查时按照无效投标处理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（1）投标人在苏采云系统规定的时间内未成功解密电子投标文件的。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（2）投标人未按照招标文件要求上传电子投标文件的。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（3）同一投标人提交两个（含两个）以上不同的投标报价的。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（4）投标人不具备招标文件中规定资格要求的。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（5）投标人的报价超过了采购预算或最高限价的。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（6）投标文件含有</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不能接受的附加条件的；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（7）其他</w:t>
      </w:r>
      <w:r>
        <w:rPr>
          <w:rFonts w:hint="eastAsia" w:ascii="宋体" w:hAnsi="宋体" w:cs="宋体"/>
          <w:color w:val="auto"/>
          <w:sz w:val="24"/>
          <w:szCs w:val="24"/>
          <w:highlight w:val="none"/>
          <w:lang w:val="en-US" w:eastAsia="zh-CN"/>
        </w:rPr>
        <w:t xml:space="preserve">法律法规</w:t>
      </w:r>
      <w:r>
        <w:rPr>
          <w:rFonts w:hint="eastAsia" w:ascii="宋体" w:hAnsi="宋体" w:eastAsia="宋体" w:cs="宋体"/>
          <w:color w:val="auto"/>
          <w:sz w:val="24"/>
          <w:szCs w:val="24"/>
          <w:highlight w:val="none"/>
          <w:lang w:val="en-US" w:eastAsia="zh-CN"/>
        </w:rPr>
        <w:t xml:space="preserve">及本采购文件规定的</w:t>
      </w:r>
      <w:r>
        <w:rPr>
          <w:rFonts w:hint="eastAsia" w:ascii="宋体" w:hAnsi="宋体" w:cs="宋体"/>
          <w:color w:val="auto"/>
          <w:sz w:val="24"/>
          <w:szCs w:val="24"/>
          <w:highlight w:val="none"/>
          <w:lang w:val="en-US" w:eastAsia="zh-CN"/>
        </w:rPr>
        <w:t xml:space="preserve">属于</w:t>
      </w:r>
      <w:r>
        <w:rPr>
          <w:rFonts w:hint="eastAsia" w:ascii="宋体" w:hAnsi="宋体" w:eastAsia="宋体" w:cs="宋体"/>
          <w:color w:val="auto"/>
          <w:sz w:val="24"/>
          <w:szCs w:val="24"/>
          <w:highlight w:val="none"/>
          <w:lang w:val="en-US" w:eastAsia="zh-CN"/>
        </w:rPr>
        <w:t xml:space="preserve">无效投标的情形</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（第五章“项目采购需求”中加“★”项为实质性条款不接受负偏离，不响应作无效标处理）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（8）经查实提供虚假材料谋取成交的；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（9）投标文件未按照招标文件要求加盖CA电子公章的。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（10）未通过符合性审查的。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（12）本项目采购产品被财政部、</w:t>
      </w:r>
      <w:r>
        <w:rPr>
          <w:rFonts w:hint="eastAsia" w:ascii="宋体" w:hAnsi="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lang w:val="en-US" w:eastAsia="zh-CN"/>
        </w:rPr>
        <w:t xml:space="preserve">、生态环境部等列入“节能产品品目清单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本项目不涉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（13）未实质性响应招标文件的响应文件按无效响应处理。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在评标期间，出现符合专业条件的投标人或者对招标文件作出实质性响应的投标人</w:t>
      </w:r>
      <w:r>
        <w:rPr>
          <w:rFonts w:hint="eastAsia" w:ascii="宋体" w:hAnsi="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lang w:val="en-US" w:eastAsia="zh-CN"/>
        </w:rPr>
        <w:t xml:space="preserve">三家情形的，按政府采购相关规定执行。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20.2.2.9有下列情形之一的予以废标，同时将废标理由通知所有投标人</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（3）投标人的报价均超过了采购预算或最高限价的，招标人不能支付的；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（5）招标文件存在歧义、重大缺陷，或者招标文件内容违反国家有关强制性规定的。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（6）因苏采云</w:t>
      </w:r>
      <w:r>
        <w:rPr>
          <w:rFonts w:hint="eastAsia" w:ascii="宋体" w:hAnsi="宋体" w:cs="宋体"/>
          <w:color w:val="auto"/>
          <w:sz w:val="24"/>
          <w:szCs w:val="24"/>
          <w:highlight w:val="none"/>
          <w:lang w:val="en-US" w:eastAsia="zh-CN"/>
        </w:rPr>
        <w:t xml:space="preserve">系统故障</w:t>
      </w:r>
      <w:r>
        <w:rPr>
          <w:rFonts w:hint="eastAsia" w:ascii="宋体" w:hAnsi="宋体" w:eastAsia="宋体" w:cs="宋体"/>
          <w:color w:val="auto"/>
          <w:sz w:val="24"/>
          <w:szCs w:val="24"/>
          <w:highlight w:val="none"/>
          <w:lang w:val="en-US" w:eastAsia="zh-CN"/>
        </w:rPr>
        <w:t xml:space="preserve">原因造成开标不成功的。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投标截止时间结束后参加投标的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不足三家的。</w:t>
      </w:r>
      <w:r/>
    </w:p>
    <w:p>
      <w:pPr>
        <w:ind w:right="0"/>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.评审及中标</w:t>
      </w:r>
      <w:r/>
    </w:p>
    <w:p>
      <w:pPr>
        <w:pStyle w:val="101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21.1评委会将对通过资格性审查和符合性审查的投标文件进行评价和比较。</w:t>
      </w:r>
      <w:r/>
    </w:p>
    <w:p>
      <w:pPr>
        <w:pStyle w:val="101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21.2评委会按招标文件第三章中公布的评标标准对每份合格投标文件进行评审，确定中标投标人，任何单项因素的最优不能作为中标的保证。</w:t>
      </w:r>
      <w:r/>
    </w:p>
    <w:p>
      <w:pPr>
        <w:pStyle w:val="101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评标过程的保密</w:t>
      </w:r>
      <w:r/>
    </w:p>
    <w:p>
      <w:pPr>
        <w:pStyle w:val="101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pStyle w:val="101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22.2招标人（代理机构）和评审委员会不向未中标的投标人解释未中标原因，也不公布评审过程中的相关细节。</w:t>
      </w:r>
      <w:r/>
    </w:p>
    <w:p>
      <w:pPr>
        <w:pStyle w:val="1018"/>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22.3评标委员会名单在开标前确定，并在招标结果确定前保密。</w:t>
      </w:r>
      <w:r/>
    </w:p>
    <w:p>
      <w:pPr>
        <w:pStyle w:val="1018"/>
        <w:ind w:firstLine="480"/>
        <w:keepLines w:val="0"/>
        <w:keepNext w:val="0"/>
        <w:pageBreakBefore w:val="0"/>
        <w:spacing w:line="360" w:lineRule="auto"/>
        <w:widowControl w:val="off"/>
        <w:rPr>
          <w:rFonts w:hint="eastAsia"/>
          <w:color w:val="auto"/>
        </w:rPr>
      </w:pPr>
      <w:r>
        <w:rPr>
          <w:rFonts w:hint="eastAsia" w:ascii="宋体" w:hAnsi="宋体" w:cs="宋体"/>
          <w:color w:val="auto"/>
          <w:sz w:val="24"/>
          <w:highlight w:val="none"/>
        </w:rPr>
        <w:t xml:space="preserve">22.4投标人在开、评标全过程中应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cs="宋体"/>
          <w:color w:val="auto"/>
          <w:sz w:val="24"/>
          <w:highlight w:val="none"/>
        </w:rPr>
        <w:t xml:space="preserve">，及时登录苏采云系统查阅、答复相关信息，并安排专人与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（代理机构）及评标委员会联系。</w:t>
      </w:r>
      <w:r/>
    </w:p>
    <w:p>
      <w:pPr>
        <w:numPr>
          <w:ilvl w:val="0"/>
          <w:numId w:val="6"/>
        </w:numPr>
        <w:ind w:left="0" w:right="0"/>
        <w:keepLines w:val="0"/>
        <w:keepNext w:val="0"/>
        <w:pageBreakBefore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定标及合同签订</w:t>
      </w:r>
      <w:r/>
    </w:p>
    <w:p>
      <w:pPr>
        <w:pStyle w:val="847"/>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bookmarkStart w:id="8" w:name="_Toc8139_WPSOffice_Level1"/>
      <w:r>
        <w:rPr>
          <w:rFonts w:hint="eastAsia" w:ascii="宋体" w:hAnsi="宋体" w:eastAsia="宋体" w:cs="宋体"/>
          <w:bCs/>
          <w:color w:val="auto"/>
          <w:sz w:val="24"/>
          <w:szCs w:val="24"/>
          <w:lang w:val="en-US" w:eastAsia="zh-CN"/>
        </w:rPr>
        <w:t xml:space="preserve">23</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确定中标投标人</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23.1评委会根据招标文件中规定的评标标准对投标人进行综合评审，最终按综合评审得分由高到低的顺序推荐出3名中标候选人。</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23.2招标人应根据评委会推荐的中标候选人确认中标人。</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23.3招标人（代理机构）将在江苏政府采购网、淮安市政府采购网发布中标公告，公告期限为1个工作日。</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23.4中标人在合同签订前，如经查实从参加该中标项目之日起计算所参加的政府采购活动前三年内，在经营活动中有行贿犯罪记录的，招标人将取消其中标资格。</w:t>
      </w:r>
      <w:r/>
    </w:p>
    <w:p>
      <w:pPr>
        <w:pStyle w:val="847"/>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中标通知书</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24.1成交结果公示结束且在无疑义情况下，</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（代理机构）将通知中标人。</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24.2中标人在中标通知书发放后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办理相关交费手续，逾期未办理作自动放弃处理。中标人在中标通知书发放后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必须递交与电子投标文件一致的纸质投标文件（印章齐全）正本一份，副本两份。</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24.3中标通知书将是合同的一个组成部分。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自行承担。</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24.4成交通知书对</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及中标人同时均具法律效力。</w:t>
      </w:r>
      <w:r/>
    </w:p>
    <w:p>
      <w:pPr>
        <w:pStyle w:val="847"/>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签订合同</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25.1招标人与中标人应在中标通知书发出之日起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签订政府采购合同。招标文件、中标人的投标文件及澄清文件等均为签订合同依据。</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25.2中标人自中标通知书发出之日起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无正当理由不与招标人签订合同，将按财政部第87号令相关规定进行处理。</w:t>
      </w:r>
      <w:r/>
    </w:p>
    <w:p>
      <w:pPr>
        <w:pStyle w:val="847"/>
        <w:ind w:left="0" w:firstLine="482"/>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 xml:space="preserve">如果</w:t>
      </w:r>
      <w:r>
        <w:rPr>
          <w:rFonts w:hint="eastAsia" w:ascii="宋体" w:hAnsi="宋体" w:cs="宋体"/>
          <w:b/>
          <w:bCs w:val="0"/>
          <w:color w:val="auto"/>
          <w:sz w:val="24"/>
          <w:szCs w:val="24"/>
          <w:lang w:val="en-US" w:eastAsia="zh-CN"/>
        </w:rPr>
        <w:t xml:space="preserve">中标人</w:t>
      </w:r>
      <w:r>
        <w:rPr>
          <w:rFonts w:hint="eastAsia" w:ascii="宋体" w:hAnsi="宋体" w:eastAsia="宋体" w:cs="宋体"/>
          <w:b/>
          <w:bCs w:val="0"/>
          <w:color w:val="auto"/>
          <w:sz w:val="24"/>
          <w:szCs w:val="24"/>
          <w:lang w:val="en-US" w:eastAsia="zh-CN"/>
        </w:rPr>
        <w:t xml:space="preserve">没有按照2</w:t>
      </w:r>
      <w:r>
        <w:rPr>
          <w:rFonts w:hint="eastAsia" w:ascii="宋体" w:hAnsi="宋体" w:cs="宋体"/>
          <w:b/>
          <w:bCs w:val="0"/>
          <w:color w:val="auto"/>
          <w:sz w:val="24"/>
          <w:szCs w:val="24"/>
          <w:lang w:val="en-US" w:eastAsia="zh-CN"/>
        </w:rPr>
        <w:t xml:space="preserve">4</w:t>
      </w:r>
      <w:r>
        <w:rPr>
          <w:rFonts w:hint="eastAsia" w:ascii="宋体" w:hAnsi="宋体" w:eastAsia="宋体" w:cs="宋体"/>
          <w:b/>
          <w:bCs w:val="0"/>
          <w:color w:val="auto"/>
          <w:sz w:val="24"/>
          <w:szCs w:val="24"/>
          <w:lang w:val="en-US" w:eastAsia="zh-CN"/>
        </w:rPr>
        <w:t xml:space="preserve">条或2</w:t>
      </w:r>
      <w:r>
        <w:rPr>
          <w:rFonts w:hint="eastAsia" w:ascii="宋体" w:hAnsi="宋体" w:cs="宋体"/>
          <w:b/>
          <w:bCs w:val="0"/>
          <w:color w:val="auto"/>
          <w:sz w:val="24"/>
          <w:szCs w:val="24"/>
          <w:lang w:val="en-US" w:eastAsia="zh-CN"/>
        </w:rPr>
        <w:t xml:space="preserve">5</w:t>
      </w:r>
      <w:r>
        <w:rPr>
          <w:rFonts w:hint="eastAsia" w:ascii="宋体" w:hAnsi="宋体" w:eastAsia="宋体" w:cs="宋体"/>
          <w:b/>
          <w:bCs w:val="0"/>
          <w:color w:val="auto"/>
          <w:sz w:val="24"/>
          <w:szCs w:val="24"/>
          <w:lang w:val="en-US" w:eastAsia="zh-CN"/>
        </w:rPr>
        <w:t xml:space="preserve">条的规定去做，</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可取消其</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资格，在此情况下</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可将标授予下一个</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候选</w:t>
      </w:r>
      <w:r>
        <w:rPr>
          <w:rFonts w:hint="eastAsia" w:ascii="宋体" w:hAnsi="宋体" w:cs="宋体"/>
          <w:b/>
          <w:bCs w:val="0"/>
          <w:color w:val="auto"/>
          <w:sz w:val="24"/>
          <w:szCs w:val="24"/>
          <w:lang w:val="en-US" w:eastAsia="zh-CN"/>
        </w:rPr>
        <w:t xml:space="preserve">人</w:t>
      </w:r>
      <w:r>
        <w:rPr>
          <w:rFonts w:hint="eastAsia" w:ascii="宋体" w:hAnsi="宋体" w:eastAsia="宋体" w:cs="宋体"/>
          <w:b/>
          <w:bCs w:val="0"/>
          <w:color w:val="auto"/>
          <w:sz w:val="24"/>
          <w:szCs w:val="24"/>
          <w:lang w:val="en-US" w:eastAsia="zh-CN"/>
        </w:rPr>
        <w:t xml:space="preserve">，或重新采购。</w:t>
      </w:r>
      <w:r/>
    </w:p>
    <w:p>
      <w:pPr>
        <w:pStyle w:val="847"/>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货物和服务的减少</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26.1采购结束后，招标人若由于各种客观原因，必须对采购项目所牵涉的货物和服务 进行适当的减少时，在双方协商一致的前提下，可以按照招标采购时的价格水平做相应的调减，并据此签订补充合同。</w:t>
      </w:r>
      <w:r/>
    </w:p>
    <w:p>
      <w:pPr>
        <w:pStyle w:val="847"/>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27.履约保证金</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27.1本项目供应商与采购单位签订合同前需缴纳</w:t>
      </w:r>
      <w:r>
        <w:rPr>
          <w:rFonts w:hint="eastAsia" w:ascii="宋体" w:hAnsi="宋体" w:eastAsia="宋体" w:cs="宋体"/>
          <w:bCs/>
          <w:color w:val="auto"/>
          <w:sz w:val="24"/>
          <w:szCs w:val="24"/>
          <w:u w:val="single"/>
          <w:lang w:val="en-US" w:eastAsia="zh-CN"/>
        </w:rPr>
        <w:t xml:space="preserve">1%</w:t>
      </w:r>
      <w:r>
        <w:rPr>
          <w:rFonts w:hint="eastAsia" w:ascii="宋体" w:hAnsi="宋体" w:eastAsia="宋体" w:cs="宋体"/>
          <w:bCs/>
          <w:color w:val="auto"/>
          <w:sz w:val="24"/>
          <w:szCs w:val="24"/>
          <w:lang w:val="en-US" w:eastAsia="zh-CN"/>
        </w:rPr>
        <w:t xml:space="preserve">的履约保证金。</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)、《关于在全市公共资源交易领域全面推广应用数字人民币的通知》(淮协调办</w:t>
      </w:r>
      <w:r>
        <w:rPr>
          <w:rFonts w:hint="eastAsia" w:ascii="宋体" w:hAnsi="宋体" w:cs="宋体"/>
          <w:bCs/>
          <w:color w:val="auto"/>
          <w:sz w:val="24"/>
          <w:szCs w:val="24"/>
          <w:lang w:val="en-US" w:eastAsia="zh-CN"/>
        </w:rPr>
        <w:t xml:space="preserve">〔2023〕33号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)的要求，登录“政府采购电子履约保函(保险)平台”选择第三方机构并提交保函(保险)申请，经审核通过后建议采用数字人民币形式支付相关费用。</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27.2乙方提供的履约保证金可以是人民币形式(银行本票汇票支票、电汇)或银行保函、担保公司的保证担保或保险公司的保证保险等多种形式。</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27.3乙方选取银行保函、担保公司的保证担保或保险公司的保证保险等形式的向采购人缴纳的，如保函(担保、保险等)的约定期到期但乙方履约仍未结束的，乙方须进行续保。</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27.4乙方选取以履约保函(保险)形式向采购人缴纳的，按照《关于在全省政府采购领域推行电子履约保函(保险)的通知》（苏财购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)的要求，登录“政府采购电子履约保函(保险)平台”选择第三方机构并提交保函(保险)申请，经审核通过后支付相关费用。</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27.5如乙方未能履行合同规定的义务，甲方有权从履约保证金中取得补偿。</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27.7履约保证金在合同约定期间内不予退还或者应完全有效履约保证金在项目验收合格后无息退还给乙方。</w:t>
      </w:r>
      <w:r/>
    </w:p>
    <w:p>
      <w:pPr>
        <w:pStyle w:val="847"/>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28.方案部分</w:t>
      </w:r>
      <w:r>
        <w:rPr>
          <w:rFonts w:hint="eastAsia" w:ascii="宋体" w:hAnsi="宋体" w:eastAsia="宋体" w:cs="宋体"/>
          <w:b/>
          <w:bCs w:val="0"/>
          <w:color w:val="auto"/>
          <w:sz w:val="24"/>
          <w:szCs w:val="24"/>
          <w:lang w:val="en-US" w:eastAsia="zh-CN"/>
        </w:rPr>
        <w:t xml:space="preserve">（如果本项目涉及的话）</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28.1本项目评标标准中的方案部分</w:t>
      </w:r>
      <w:r>
        <w:rPr>
          <w:rFonts w:hint="eastAsia" w:ascii="宋体" w:hAnsi="宋体" w:eastAsia="宋体" w:cs="宋体"/>
          <w:b/>
          <w:bCs w:val="0"/>
          <w:color w:val="auto"/>
          <w:sz w:val="24"/>
          <w:szCs w:val="24"/>
          <w:u w:val="single"/>
          <w:lang w:val="en-US" w:eastAsia="zh-CN"/>
        </w:rPr>
        <w:t xml:space="preserve">不</w:t>
      </w:r>
      <w:r>
        <w:rPr>
          <w:rFonts w:hint="eastAsia" w:ascii="宋体" w:hAnsi="宋体" w:eastAsia="宋体" w:cs="宋体"/>
          <w:bCs/>
          <w:color w:val="auto"/>
          <w:sz w:val="24"/>
          <w:szCs w:val="24"/>
          <w:lang w:val="en-US" w:eastAsia="zh-CN"/>
        </w:rPr>
        <w:t xml:space="preserve">采用暗标方式进行评审：</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28.2方案部分采用暗标方式进行评审的编制要求：</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方案部分能够正常显示的，即视为“苏采云”系统方案部分暗标功能运行无故障。</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28.3方案部分采用暗标方式的，</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需按28.2的要求编制方案。经三分之二评委认定，</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未按28.2的要求编制方案的，按未提供方案处理。</w:t>
      </w:r>
      <w:r/>
    </w:p>
    <w:p>
      <w:pPr>
        <w:pStyle w:val="847"/>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七、质疑处理</w:t>
      </w:r>
      <w:r/>
    </w:p>
    <w:p>
      <w:pPr>
        <w:pStyle w:val="847"/>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质疑处理</w:t>
      </w:r>
      <w:r/>
    </w:p>
    <w:p>
      <w:pPr>
        <w:pStyle w:val="847"/>
        <w:ind w:left="0" w:firstLine="480"/>
        <w:keepLines w:val="0"/>
        <w:keepNext w:val="0"/>
        <w:pageBreakBefore w:val="0"/>
        <w:spacing w:before="0" w:after="0" w:line="360" w:lineRule="auto"/>
        <w:widowControl/>
        <w:rPr>
          <w:rFonts w:hint="eastAsia" w:ascii="宋体" w:hAnsi="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29.1</w:t>
      </w:r>
      <w:r>
        <w:rPr>
          <w:rFonts w:hint="eastAsia" w:ascii="宋体" w:hAnsi="宋体" w:cs="宋体"/>
          <w:bCs/>
          <w:color w:val="auto"/>
          <w:sz w:val="24"/>
          <w:szCs w:val="24"/>
          <w:lang w:val="en-US" w:eastAsia="zh-CN"/>
        </w:rPr>
        <w:t xml:space="preserve">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29.2上述应知其权益受到损害之日是指</w:t>
      </w:r>
      <w:r>
        <w:rPr>
          <w:rFonts w:hint="eastAsia" w:ascii="宋体" w:hAnsi="宋体" w:cs="宋体"/>
          <w:bCs/>
          <w:color w:val="auto"/>
          <w:sz w:val="24"/>
          <w:szCs w:val="24"/>
          <w:lang w:val="en-US" w:eastAsia="zh-CN"/>
        </w:rPr>
        <w:t xml:space="preserve">：</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（1）对招标文件提出质疑的，为收到招标文件之日或者招标文件公告期限届满之日起计算；</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（2）对招标过程提出质疑的，为各招标程序环节结束之日起计算；</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（3）对中标结果提出质疑的，为中标结果公告期限届满之日起计算。</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29.3质疑投标人是指直接参加本次投标活动的投标人，未参加投标活动的投标人或在投标活动中自身权益未受到损害的投标人所提出的质疑不予受理。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29.4质疑投标人在法定质疑期内应当一次性提出针对同一招标环节提出质疑。</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29.5质疑函必须以参加投标</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投标人</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招标人（代理机构）有权不予受理。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29.6质疑函应当包括以下主要内容，并按照“谁主张、谁举证 ”的原则，附上相关证明材料。否则，招标人（代理机构）不予受理。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（1）质疑投标人的名称、地址、邮编、联系人及联系电话；</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（2）质疑项目的名称、编号；</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（3）具体、明确的质疑事项和与质疑事实相关的请求；</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（4）事实依据；</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（5）必要的法律依据；</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（6）提起质疑的日期；</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（7）质疑函应当署名：</w:t>
      </w:r>
      <w:r>
        <w:rPr>
          <w:rFonts w:hint="eastAsia" w:ascii="宋体" w:hAnsi="宋体" w:eastAsia="宋体" w:cs="宋体"/>
          <w:bCs/>
          <w:color w:val="auto"/>
          <w:sz w:val="24"/>
          <w:szCs w:val="24"/>
          <w:highlight w:val="none"/>
          <w:lang w:val="en-US" w:eastAsia="zh-CN"/>
        </w:rPr>
        <w:t xml:space="preserve">应当由法定代表人签字并加盖单位公章。</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29.8对于内容、格式符合规定的质疑函，招标人（代理机构）将在七个工作日内以书面形式作出答复。</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29.9投标人提出书面质疑必须有理</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有据，不得恶意质疑或提交虚假质疑。否则，一 经查实，招标人有权依据政府采购的有关规定，报请政府采购监管部门对该投标人列入失信行为或不良行为记录名单，进行相应的行政处罚。</w:t>
      </w:r>
      <w:r/>
    </w:p>
    <w:p>
      <w:pPr>
        <w:pStyle w:val="847"/>
        <w:keepLines w:val="0"/>
        <w:keepNext w:val="0"/>
        <w:pageBreakBefore w:val="0"/>
        <w:spacing w:before="0" w:after="0" w:line="360" w:lineRule="auto"/>
        <w:widowControl/>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30</w:t>
      </w:r>
      <w:r>
        <w:rPr>
          <w:rFonts w:hint="eastAsia" w:ascii="宋体" w:hAnsi="宋体" w:cs="宋体"/>
          <w:b/>
          <w:bCs w:val="0"/>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节能、环保政策（本项目不涉及）</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根据《财政部发展改革委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30.1节能产品（本项目不涉及）</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本项目(采购产品)被列入“节能产品品目清单”的，实行（优先采购/强制采购）。</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30.2环保产品（本项目不涉及）</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本项目中 (采购产品)被列入“环境标志产品品目清单”的，实行优先采购。</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31.政府绿色采购 </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31.2本项目中涉及商品的包装应按照“财办库〔2020〕123号《关于印发《商品包装政府采购需求标准（试行）》、《快递包装政府采购需求标准（试行）》的通知》”执行</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在供货、安装过程中</w:t>
      </w:r>
      <w:r>
        <w:rPr>
          <w:rFonts w:hint="eastAsia" w:ascii="宋体" w:hAnsi="宋体" w:cs="宋体"/>
          <w:bCs/>
          <w:color w:val="auto"/>
          <w:sz w:val="24"/>
          <w:szCs w:val="24"/>
          <w:lang w:val="en-US" w:eastAsia="zh-CN"/>
        </w:rPr>
        <w:t xml:space="preserve">能</w:t>
      </w:r>
      <w:r>
        <w:rPr>
          <w:rFonts w:hint="eastAsia" w:ascii="宋体" w:hAnsi="宋体" w:eastAsia="宋体" w:cs="宋体"/>
          <w:bCs/>
          <w:color w:val="auto"/>
          <w:sz w:val="24"/>
          <w:szCs w:val="24"/>
          <w:lang w:val="en-US" w:eastAsia="zh-CN"/>
        </w:rPr>
        <w:t xml:space="preserve">做到低碳物流、环保节约、提高资源利用率；涉及设备运维参考《绿色数据中心政府采购需求标准（试行）》（财库</w:t>
      </w:r>
      <w:r>
        <w:rPr>
          <w:rFonts w:hint="eastAsia" w:ascii="宋体" w:hAnsi="宋体" w:cs="宋体"/>
          <w:bCs/>
          <w:color w:val="auto"/>
          <w:sz w:val="24"/>
          <w:szCs w:val="24"/>
          <w:lang w:val="en-US" w:eastAsia="zh-CN"/>
        </w:rPr>
        <w:t xml:space="preserve">〔2023〕7号</w:t>
      </w:r>
      <w:r>
        <w:rPr>
          <w:rFonts w:hint="eastAsia" w:ascii="宋体" w:hAnsi="宋体" w:eastAsia="宋体" w:cs="宋体"/>
          <w:bCs/>
          <w:color w:val="auto"/>
          <w:sz w:val="24"/>
          <w:szCs w:val="24"/>
          <w:lang w:val="en-US" w:eastAsia="zh-CN"/>
        </w:rPr>
        <w:t xml:space="preserve">文）执行。</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31.3本项目中涉及涂料、胶黏剂、油墨、清洗剂等挥发性有机物产品的，要执行国家和江苏省VOCs含量限制标准，优先使用低挥发性原辅材料，使用低VOCs含量的涂料、胶黏剂等。</w:t>
      </w:r>
      <w:r/>
    </w:p>
    <w:p>
      <w:pPr>
        <w:pStyle w:val="847"/>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政府采购履约资金扶持政策</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成交供应商可凭政府采购合同办理融资贷款，详情请见江苏政府采购网“政采贷”专栏。</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847"/>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32.2有融资贷款需求的成交人，与招标人在苏采云【合同在线签订】模块中进行合同在线签订时，【账户信息完善】的“是否融资”一栏中需选择“是”，同时完善收款账号信息和合同补充协议（融资账号）。</w:t>
      </w:r>
      <w:r/>
    </w:p>
    <w:p>
      <w:pPr>
        <w:keepNext w:val="0"/>
        <w:pageBreakBefore w:val="0"/>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p>
    <w:p>
      <w:pPr>
        <w:ind w:firstLine="47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val="zh-CN"/>
        </w:rPr>
        <w:t xml:space="preserve">政府采购促进中小企业发展</w:t>
      </w:r>
      <w:r>
        <w:rPr>
          <w:rFonts w:hint="eastAsia" w:ascii="宋体" w:hAnsi="宋体" w:eastAsia="宋体" w:cs="宋体"/>
          <w:color w:val="auto"/>
          <w:sz w:val="24"/>
          <w:szCs w:val="24"/>
          <w:lang w:val="zh-CN"/>
        </w:rPr>
        <w:t xml:space="preserve">，小企业</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含小型、微型企业</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提供的产品和服务在评标时将获得优势，参加投标</w:t>
      </w:r>
      <w:r>
        <w:rPr>
          <w:rFonts w:hint="eastAsia" w:ascii="宋体" w:hAnsi="宋体" w:cs="宋体"/>
          <w:color w:val="auto"/>
          <w:sz w:val="24"/>
          <w:szCs w:val="24"/>
          <w:lang w:val="zh-CN"/>
        </w:rPr>
        <w:t xml:space="preserve">的中</w:t>
      </w:r>
      <w:r>
        <w:rPr>
          <w:rFonts w:hint="eastAsia" w:ascii="宋体" w:hAnsi="宋体" w:eastAsia="宋体" w:cs="宋体"/>
          <w:color w:val="auto"/>
          <w:sz w:val="24"/>
          <w:szCs w:val="24"/>
          <w:lang w:val="zh-CN"/>
        </w:rPr>
        <w:t xml:space="preserve">小企业，应当按照《政府采购促进中小企业发展暂行办法》[财库〔2020〕46号]的规定，提供《中小企业声明函》，声明函格式详见招标文件第六章示范格式。</w:t>
      </w:r>
      <w:bookmarkEnd w:id="8"/>
      <w:r/>
      <w:bookmarkStart w:id="9" w:name="_Toc4620_WPSOffice_Level1"/>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政府采购政策功能落实。</w:t>
      </w:r>
      <w:r/>
    </w:p>
    <w:p>
      <w:pPr>
        <w:ind w:firstLine="482"/>
        <w:keepLines w:val="0"/>
        <w:keepNext w:val="0"/>
        <w:pageBreakBefore w:val="0"/>
        <w:spacing w:line="36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）小微型企业价格扣除</w:t>
      </w:r>
      <w:r/>
    </w:p>
    <w:p>
      <w:pPr>
        <w:ind w:firstLine="47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对于未专门面向中小企业或者未预留份额专门面向中小企业采购的采购项目，</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提供的货物或者服务符合下列情形的，享受本办法规定的中小企业扶持政策给予小微企业报价</w:t>
      </w:r>
      <w:r>
        <w:rPr>
          <w:rFonts w:hint="eastAsia" w:ascii="宋体" w:hAnsi="宋体" w:eastAsia="宋体" w:cs="宋体"/>
          <w:b/>
          <w:bCs/>
          <w:color w:val="auto"/>
          <w:sz w:val="24"/>
          <w:szCs w:val="24"/>
        </w:rPr>
        <w:t xml:space="preserve">20%</w:t>
      </w:r>
      <w:r>
        <w:rPr>
          <w:rFonts w:hint="eastAsia" w:ascii="宋体" w:hAnsi="宋体" w:eastAsia="宋体" w:cs="宋体"/>
          <w:color w:val="auto"/>
          <w:sz w:val="24"/>
          <w:szCs w:val="24"/>
        </w:rPr>
        <w:t xml:space="preserve">的扣除，用扣除后的价格参与评审：</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2.在货物采购项目中，供应商提供的货物既有中小企业制造货物，也有大型企业制造货物的，不享受本办法规定的中小企业扶持政策。</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（二）联合体及分包</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1.以联合体形式参加政府采购活动，联合体各方均为中小企业的，联合体视同中小企业。其中，联合体各方均为小微企业的，联合体视同小微企业。</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2.享受扶持政策获得政府采购合同的，小微企业不得将合同分包给大中型企业，中型企业不得将合同分包给大型企业。</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cs="宋体"/>
          <w:b/>
          <w:bCs/>
          <w:color w:val="auto"/>
          <w:sz w:val="24"/>
          <w:szCs w:val="24"/>
          <w:lang w:val="en-US" w:eastAsia="zh-CN"/>
        </w:rPr>
        <w:t xml:space="preserve">30%</w:t>
      </w:r>
      <w:r>
        <w:rPr>
          <w:rFonts w:hint="eastAsia" w:ascii="宋体" w:hAnsi="宋体" w:cs="宋体"/>
          <w:b w:val="0"/>
          <w:bCs w:val="0"/>
          <w:color w:val="auto"/>
          <w:sz w:val="24"/>
          <w:szCs w:val="24"/>
          <w:lang w:val="en-US" w:eastAsia="zh-CN"/>
        </w:rPr>
        <w:t xml:space="preserve">以上的，招标人应当对联合体或者大中型企业的报价给予</w:t>
      </w:r>
      <w:r>
        <w:rPr>
          <w:rFonts w:hint="eastAsia" w:ascii="宋体" w:hAnsi="宋体" w:cs="宋体"/>
          <w:b/>
          <w:bCs/>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的扣除，用扣除后的价格参加评审。</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（三）小微型企业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1.投标人须按照招标文件的要求提供相应的《企业声明函》，详见招标文件第六章示范格式。</w:t>
      </w:r>
      <w:r/>
    </w:p>
    <w:p>
      <w:pPr>
        <w:ind w:firstLine="480"/>
        <w:keepLines w:val="0"/>
        <w:keepNext w:val="0"/>
        <w:pageBreakBefore w:val="0"/>
        <w:spacing w:line="360" w:lineRule="auto"/>
        <w:widowControl w:val="off"/>
        <w:rPr>
          <w:rFonts w:hint="default"/>
          <w:color w:val="auto"/>
          <w:lang w:val="en-US" w:eastAsia="zh-CN"/>
        </w:rPr>
      </w:pPr>
      <w:r>
        <w:rPr>
          <w:rFonts w:hint="eastAsia" w:ascii="宋体" w:hAnsi="宋体" w:cs="宋体"/>
          <w:b w:val="0"/>
          <w:bCs w:val="0"/>
          <w:color w:val="auto"/>
          <w:sz w:val="24"/>
          <w:szCs w:val="24"/>
          <w:lang w:val="en-US" w:eastAsia="zh-CN"/>
        </w:rPr>
        <w:t xml:space="preserve">2.企业标准请参照《政府采购促进中小企业发展管理办法》（财库〔2020〕46号）文件规定自行填写。</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（四）残疾人福利单位</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1.本项目对残疾人福利性单位视同小型、微型企业。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2.残疾人福利单位需按照招标文件的要求提供《残疾人福利性单位声明函》，详见招标文件第六章示范格式。</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3.残疾人福利单位标准请参照《关于促进残疾人就业政府采购政策的通知》（财库〔2017〕141号）。</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（五）监狱和戒毒企业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1.本项目对监狱和戒毒企业（简称监狱企业）视同小型、微型企业。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3.监狱企业标准请参照《关于政府采购支持监狱企业发展有关问题的通知》（财库〔2014〕68号）。</w:t>
      </w:r>
      <w:r/>
    </w:p>
    <w:p>
      <w:pPr>
        <w:ind w:firstLine="482"/>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cs="宋体"/>
          <w:b w:val="0"/>
          <w:bCs w:val="0"/>
          <w:color w:val="auto"/>
          <w:sz w:val="24"/>
          <w:szCs w:val="24"/>
          <w:lang w:val="en-US" w:eastAsia="zh-CN"/>
        </w:rPr>
        <w:t xml:space="preserve">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r/>
    </w:p>
    <w:p>
      <w:pPr>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四、</w:t>
      </w:r>
      <w:r>
        <w:rPr>
          <w:rFonts w:hint="eastAsia" w:ascii="宋体" w:hAnsi="宋体" w:cs="宋体"/>
          <w:b w:val="0"/>
          <w:bCs w:val="0"/>
          <w:color w:val="auto"/>
          <w:sz w:val="24"/>
          <w:szCs w:val="24"/>
          <w:lang w:val="en-US" w:eastAsia="zh-CN"/>
        </w:rPr>
        <w:t xml:space="preserve">评标委员会将依据下列评标标准进行评标，本评标标准的总分为100分。按投标文件满足招标文件全部实质性要求，最终总得分由高到低的顺序推荐出3名中标候选人。总得分相同的，投标报价低的优先。总得分且投标报价相同的， 由评标委员会通过随机抽取的方式确定。</w:t>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五、具体标准：</w:t>
      </w:r>
      <w:r/>
    </w:p>
    <w:tbl>
      <w:tblPr>
        <w:tblStyle w:val="8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965"/>
        <w:gridCol w:w="6569"/>
        <w:gridCol w:w="723"/>
      </w:tblGrid>
      <w:tr>
        <w:trPr>
          <w:jc w:val="center"/>
          <w:trHeight w:val="578"/>
        </w:trPr>
        <w:tc>
          <w:tcPr>
            <w:tcW w:w="354" w:type="pct"/>
            <w:vAlign w:val="center"/>
            <w:textDirection w:val="lrTb"/>
            <w:noWrap w:val="false"/>
          </w:tcPr>
          <w:p>
            <w:pPr>
              <w:pStyle w:val="818"/>
              <w:ind w:firstLine="0"/>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986" w:type="pct"/>
            <w:vAlign w:val="center"/>
            <w:textDirection w:val="lrTb"/>
            <w:noWrap w:val="false"/>
          </w:tcPr>
          <w:p>
            <w:pPr>
              <w:pStyle w:val="818"/>
              <w:ind w:firstLine="422"/>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评分项</w:t>
            </w:r>
            <w:r/>
          </w:p>
        </w:tc>
        <w:tc>
          <w:tcPr>
            <w:tcW w:w="3296" w:type="pct"/>
            <w:vAlign w:val="center"/>
            <w:textDirection w:val="lrTb"/>
            <w:noWrap w:val="false"/>
          </w:tcPr>
          <w:p>
            <w:pPr>
              <w:pStyle w:val="818"/>
              <w:ind w:firstLine="422"/>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评分标准</w:t>
            </w:r>
            <w:r/>
          </w:p>
        </w:tc>
        <w:tc>
          <w:tcPr>
            <w:tcW w:w="363" w:type="pct"/>
            <w:vAlign w:val="center"/>
            <w:textDirection w:val="lrTb"/>
            <w:noWrap w:val="false"/>
          </w:tcPr>
          <w:p>
            <w:pPr>
              <w:pStyle w:val="818"/>
              <w:ind w:firstLine="0"/>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325"/>
        </w:trPr>
        <w:tc>
          <w:tcPr>
            <w:tcW w:w="354" w:type="pct"/>
            <w:vAlign w:val="center"/>
            <w:textDirection w:val="lrTb"/>
            <w:noWrap w:val="false"/>
          </w:tcPr>
          <w:p>
            <w:pPr>
              <w:pStyle w:val="818"/>
              <w:ind w:firstLine="0"/>
              <w:jc w:val="center"/>
              <w:spacing w:line="36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986" w:type="pct"/>
            <w:vAlign w:val="center"/>
            <w:textDirection w:val="lrTb"/>
            <w:noWrap w:val="false"/>
          </w:tcPr>
          <w:p>
            <w:pPr>
              <w:pStyle w:val="818"/>
              <w:jc w:val="both"/>
              <w:spacing w:line="36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投标报价</w:t>
            </w:r>
            <w:r/>
          </w:p>
          <w:p>
            <w:pPr>
              <w:pStyle w:val="818"/>
              <w:jc w:val="both"/>
              <w:spacing w:line="360" w:lineRule="exact"/>
              <w:rPr>
                <w:rFonts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3296" w:type="pct"/>
            <w:vAlign w:val="center"/>
            <w:textDirection w:val="lrTb"/>
            <w:noWrap w:val="false"/>
          </w:tcPr>
          <w:p>
            <w:pPr>
              <w:spacing w:line="360" w:lineRule="exact"/>
              <w:rPr>
                <w:rFonts w:ascii="宋体" w:hAnsi="宋体" w:eastAsia="宋体" w:cs="宋体"/>
                <w:color w:val="000000" w:themeColor="text1"/>
                <w:sz w:val="24"/>
                <w:szCs w:val="24"/>
                <w:highlight w:val="red"/>
                <w:lang w:eastAsia="zh-CN"/>
                <w14:textFill>
                  <w14:solidFill>
                    <w14:schemeClr w14:val="tx1"/>
                  </w14:solidFill>
                </w14:textFill>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eastAsia="zh-CN"/>
              </w:rPr>
              <w:t xml:space="preserve">30</w:t>
            </w:r>
            <w:r>
              <w:rPr>
                <w:rFonts w:hint="eastAsia" w:ascii="宋体" w:hAnsi="宋体" w:eastAsia="宋体" w:cs="宋体"/>
                <w:sz w:val="24"/>
                <w:szCs w:val="24"/>
              </w:rPr>
              <w:t xml:space="preserve">分。</w:t>
            </w:r>
            <w:r/>
          </w:p>
        </w:tc>
        <w:tc>
          <w:tcPr>
            <w:tcW w:w="363"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w:t>
            </w:r>
            <w:r/>
          </w:p>
        </w:tc>
      </w:tr>
      <w:tr>
        <w:trPr>
          <w:jc w:val="center"/>
          <w:trHeight w:val="3000"/>
        </w:trPr>
        <w:tc>
          <w:tcPr>
            <w:tcW w:w="354"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986" w:type="pct"/>
            <w:vAlign w:val="center"/>
            <w:textDirection w:val="lrTb"/>
            <w:noWrap w:val="false"/>
          </w:tcPr>
          <w:p>
            <w:pPr>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技术部分（20分）</w:t>
            </w:r>
            <w:r/>
          </w:p>
        </w:tc>
        <w:tc>
          <w:tcPr>
            <w:tcW w:w="3296" w:type="pct"/>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1）投标供应商所投产品技术参数完全满足招标文件“项目采购需求”要求的得20分。其中标注“★”部分为实质性要求，有一项不满足的作无效标处理。投标供应商所投产品技术参数与招标文件“项目采购需求”中标注“▲”的参数相比较（标注“▲”的参数为重要参数），每有一项负偏离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eastAsia="zh-CN"/>
              </w:rPr>
              <w:t xml:space="preserve">分，扣完为止。</w:t>
            </w:r>
            <w:r>
              <w:rPr>
                <w:rFonts w:hint="eastAsia" w:ascii="宋体" w:hAnsi="宋体" w:cs="宋体"/>
                <w:sz w:val="24"/>
                <w:szCs w:val="24"/>
                <w:lang w:eastAsia="zh-CN"/>
              </w:rPr>
              <w:t xml:space="preserve">其他</w:t>
            </w:r>
            <w:r>
              <w:rPr>
                <w:rFonts w:hint="eastAsia" w:ascii="宋体" w:hAnsi="宋体" w:eastAsia="宋体" w:cs="宋体"/>
                <w:sz w:val="24"/>
                <w:szCs w:val="24"/>
                <w:lang w:eastAsia="zh-CN"/>
              </w:rPr>
              <w:t xml:space="preserve">项（未标注符号的）参数，每有一项负偏离的扣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lang w:eastAsia="zh-CN"/>
              </w:rPr>
              <w:t xml:space="preserve">分，扣完为止；</w:t>
            </w:r>
            <w:r/>
          </w:p>
          <w:p>
            <w:pPr>
              <w:tabs>
                <w:tab w:val="left" w:pos="10080" w:leader="none"/>
              </w:tabs>
              <w:rPr>
                <w:rFonts w:ascii="宋体" w:hAnsi="宋体" w:eastAsia="宋体" w:cs="宋体"/>
                <w:b/>
                <w:bCs/>
                <w:sz w:val="24"/>
                <w:szCs w:val="24"/>
                <w:lang w:val="zh-CN" w:eastAsia="zh-CN"/>
              </w:rPr>
            </w:pPr>
            <w:r>
              <w:rPr>
                <w:rFonts w:hint="eastAsia" w:ascii="宋体" w:hAnsi="宋体" w:eastAsia="宋体" w:cs="宋体"/>
                <w:b/>
                <w:bCs/>
                <w:sz w:val="24"/>
                <w:szCs w:val="24"/>
                <w:lang w:eastAsia="zh-CN"/>
              </w:rPr>
              <w:t xml:space="preserve">注：</w:t>
            </w:r>
            <w:r>
              <w:rPr>
                <w:rFonts w:hint="eastAsia" w:ascii="宋体" w:hAnsi="宋体" w:eastAsia="宋体" w:cs="宋体"/>
                <w:b/>
                <w:bCs/>
                <w:sz w:val="24"/>
                <w:szCs w:val="24"/>
                <w:lang w:val="zh-CN" w:eastAsia="zh-CN"/>
              </w:rPr>
              <w:t xml:space="preserve">（1）技术参数要求中如需提供检测报告或证明材料的，投标供应商须按要求提供证明材料上传，未提供的作负偏离处理。</w:t>
            </w:r>
            <w:r/>
          </w:p>
          <w:p>
            <w:pPr>
              <w:spacing w:line="360" w:lineRule="exact"/>
              <w:rPr>
                <w:rFonts w:ascii="宋体" w:hAnsi="宋体" w:eastAsia="宋体" w:cs="宋体"/>
                <w:sz w:val="24"/>
                <w:szCs w:val="24"/>
                <w:lang w:eastAsia="zh-CN"/>
              </w:rPr>
            </w:pPr>
            <w:r>
              <w:rPr>
                <w:rFonts w:hint="eastAsia" w:ascii="宋体" w:hAnsi="宋体" w:eastAsia="宋体" w:cs="宋体"/>
                <w:b/>
                <w:bCs/>
                <w:sz w:val="24"/>
                <w:szCs w:val="24"/>
                <w:lang w:val="zh-CN" w:eastAsia="zh-CN"/>
              </w:rPr>
              <w:t xml:space="preserve">（2）投标供应商须提供详细的技术要求响应偏离表，以及相应的技术证明材料（注明技术参数对应的序号项，以便于评委审查），不提供或提供不准确不得分。</w:t>
            </w:r>
            <w:r/>
          </w:p>
        </w:tc>
        <w:tc>
          <w:tcPr>
            <w:tcW w:w="363"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w:t>
            </w:r>
            <w:r/>
          </w:p>
        </w:tc>
      </w:tr>
      <w:tr>
        <w:trPr>
          <w:jc w:val="center"/>
          <w:trHeight w:val="5638"/>
        </w:trPr>
        <w:tc>
          <w:tcPr>
            <w:tcW w:w="354" w:type="pct"/>
            <w:vAlign w:val="center"/>
            <w:textDirection w:val="lrTb"/>
            <w:noWrap w:val="false"/>
          </w:tcPr>
          <w:p>
            <w:pPr>
              <w:pStyle w:val="818"/>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986" w:type="pct"/>
            <w:vAlign w:val="center"/>
            <w:textDirection w:val="lrTb"/>
            <w:noWrap w:val="false"/>
          </w:tcPr>
          <w:p>
            <w:pPr>
              <w:pStyle w:val="818"/>
              <w:ind w:firstLine="0"/>
              <w:spacing w:line="360" w:lineRule="exact"/>
              <w:rPr>
                <w:rFonts w:ascii="宋体" w:hAnsi="宋体" w:eastAsia="宋体" w:cs="宋体"/>
                <w:sz w:val="24"/>
                <w:szCs w:val="24"/>
                <w:lang w:eastAsia="zh-CN"/>
              </w:rPr>
            </w:pPr>
            <w:r>
              <w:rPr>
                <w:rFonts w:hint="eastAsia" w:ascii="宋体" w:hAnsi="宋体" w:eastAsia="宋体" w:cs="宋体"/>
                <w:sz w:val="24"/>
                <w:szCs w:val="24"/>
              </w:rPr>
              <w:t xml:space="preserve">供应商综合实力（</w:t>
            </w: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分）</w:t>
            </w:r>
            <w:r/>
          </w:p>
        </w:tc>
        <w:tc>
          <w:tcPr>
            <w:tcW w:w="3296" w:type="pct"/>
            <w:vAlign w:val="center"/>
            <w:textDirection w:val="lrTb"/>
            <w:noWrap w:val="false"/>
          </w:tcPr>
          <w:p>
            <w:pPr>
              <w:numPr>
                <w:ilvl w:val="0"/>
                <w:numId w:val="7"/>
              </w:num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供应商针对本项目拟配备项目负责人一名，具有二级及以上机电工程建造师的得3分。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为其缴纳的任意一个月的社保；③有效的机电工程建造师证书。上述材料原件扫描件上传，材料不全不得分）</w:t>
            </w:r>
            <w:r/>
          </w:p>
          <w:p>
            <w:p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2、供应商针对本项目拟配备技术负责人一名，具有二级及以上机电工程建造师的得2分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为其缴纳的任意一个月的社保；③有效的机电工程建造师证书。上述材料原件扫描件上传，材料不全不得分）</w:t>
            </w:r>
            <w:r/>
          </w:p>
          <w:p>
            <w:p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3、供应商针对本项目拟配备投入实施技术人员中，具有初级及以上专业技术职称证书的（电子、电气、电子信息、机电中任意一种专业），每提供一个得1分，本项最多得4分。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为其缴纳的任意一个月的社保；③有效的职称证书。上述材料原件扫描件上传，材料不全不得分）</w:t>
            </w:r>
            <w:r/>
          </w:p>
          <w:p>
            <w:pPr>
              <w:pStyle w:val="818"/>
              <w:ind w:firstLine="0"/>
              <w:jc w:val="both"/>
              <w:spacing w:line="36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注：以上针对本项目拟投入的人员不重复计算。</w:t>
            </w:r>
            <w:r/>
          </w:p>
        </w:tc>
        <w:tc>
          <w:tcPr>
            <w:tcW w:w="363"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w:t>
            </w:r>
            <w:r/>
          </w:p>
        </w:tc>
      </w:tr>
      <w:tr>
        <w:trPr>
          <w:jc w:val="center"/>
          <w:trHeight w:val="1351"/>
        </w:trPr>
        <w:tc>
          <w:tcPr>
            <w:tcW w:w="354" w:type="pct"/>
            <w:vAlign w:val="center"/>
            <w:textDirection w:val="lrTb"/>
            <w:noWrap w:val="false"/>
          </w:tcPr>
          <w:p>
            <w:pPr>
              <w:pStyle w:val="818"/>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986" w:type="pct"/>
            <w:vAlign w:val="center"/>
            <w:textDirection w:val="lrTb"/>
            <w:noWrap w:val="false"/>
          </w:tcPr>
          <w:p>
            <w:pPr>
              <w:pStyle w:val="818"/>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类似业绩（</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分）</w:t>
            </w:r>
            <w:r/>
          </w:p>
        </w:tc>
        <w:tc>
          <w:tcPr>
            <w:tcW w:w="3296"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供应商自2021年1月1日以来承接过类似相关智能交通系统及标线、护栏项目</w:t>
            </w:r>
            <w:r>
              <w:rPr>
                <w:rFonts w:hint="eastAsia" w:ascii="宋体" w:hAnsi="宋体" w:cs="宋体"/>
                <w:sz w:val="24"/>
                <w:highlight w:val="none"/>
                <w:lang w:eastAsia="zh-CN"/>
              </w:rPr>
              <w:t xml:space="preserve">的</w:t>
            </w:r>
            <w:r>
              <w:rPr>
                <w:rFonts w:hint="eastAsia" w:ascii="宋体" w:hAnsi="宋体" w:cs="宋体"/>
                <w:sz w:val="24"/>
                <w:highlight w:val="none"/>
              </w:rPr>
              <w:t xml:space="preserve">（内容可涉及交通信号控制</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智慧平台</w:t>
            </w:r>
            <w:r>
              <w:rPr>
                <w:rFonts w:hint="eastAsia" w:ascii="宋体" w:hAnsi="宋体" w:cs="宋体"/>
                <w:sz w:val="24"/>
                <w:highlight w:val="none"/>
                <w:lang w:eastAsia="zh-CN"/>
              </w:rPr>
              <w:t xml:space="preserve">、</w:t>
            </w:r>
            <w:r>
              <w:rPr>
                <w:rFonts w:hint="eastAsia" w:ascii="宋体" w:hAnsi="宋体" w:cs="宋体"/>
                <w:sz w:val="24"/>
                <w:highlight w:val="none"/>
              </w:rPr>
              <w:t xml:space="preserve">非机动车管控</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智慧交通管控</w:t>
            </w:r>
            <w:r>
              <w:rPr>
                <w:rFonts w:hint="eastAsia" w:ascii="宋体" w:hAnsi="宋体" w:cs="宋体"/>
                <w:sz w:val="24"/>
                <w:highlight w:val="none"/>
                <w:lang w:eastAsia="zh-CN"/>
              </w:rPr>
              <w:t xml:space="preserve">、</w:t>
            </w:r>
            <w:r>
              <w:rPr>
                <w:rFonts w:hint="eastAsia" w:ascii="宋体" w:hAnsi="宋体" w:cs="宋体"/>
                <w:sz w:val="24"/>
                <w:highlight w:val="none"/>
              </w:rPr>
              <w:t xml:space="preserve">交通标线</w:t>
            </w:r>
            <w:r>
              <w:rPr>
                <w:rFonts w:hint="eastAsia" w:ascii="宋体" w:hAnsi="宋体" w:cs="宋体"/>
                <w:sz w:val="24"/>
                <w:highlight w:val="none"/>
                <w:lang w:eastAsia="zh-CN"/>
              </w:rPr>
              <w:t xml:space="preserve">、</w:t>
            </w:r>
            <w:r>
              <w:rPr>
                <w:rFonts w:hint="eastAsia" w:ascii="宋体" w:hAnsi="宋体" w:cs="宋体"/>
                <w:sz w:val="24"/>
                <w:highlight w:val="none"/>
              </w:rPr>
              <w:t xml:space="preserve">护栏）：</w:t>
            </w:r>
            <w:r/>
          </w:p>
          <w:p>
            <w:pPr>
              <w:widowControl w:val="off"/>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①提供智能交通系统类似业绩</w:t>
            </w:r>
            <w:r>
              <w:rPr>
                <w:rFonts w:hint="eastAsia" w:ascii="宋体" w:hAnsi="宋体" w:cs="宋体"/>
                <w:sz w:val="24"/>
                <w:highlight w:val="none"/>
              </w:rPr>
              <w:t xml:space="preserve">（内容可涉及交通信号控制</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智慧平台</w:t>
            </w:r>
            <w:r>
              <w:rPr>
                <w:rFonts w:hint="eastAsia" w:ascii="宋体" w:hAnsi="宋体" w:cs="宋体"/>
                <w:sz w:val="24"/>
                <w:highlight w:val="none"/>
                <w:lang w:eastAsia="zh-CN"/>
              </w:rPr>
              <w:t xml:space="preserve">、</w:t>
            </w:r>
            <w:r>
              <w:rPr>
                <w:rFonts w:hint="eastAsia" w:ascii="宋体" w:hAnsi="宋体" w:cs="宋体"/>
                <w:sz w:val="24"/>
                <w:highlight w:val="none"/>
              </w:rPr>
              <w:t xml:space="preserve">非机动车管控</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智慧交通管控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每提供1个</w:t>
            </w:r>
            <w:r>
              <w:rPr>
                <w:rFonts w:hint="eastAsia" w:ascii="宋体" w:hAnsi="宋体" w:cs="宋体"/>
                <w:sz w:val="24"/>
                <w:szCs w:val="24"/>
                <w:highlight w:val="none"/>
                <w:lang w:eastAsia="zh-CN"/>
              </w:rPr>
              <w:t xml:space="preserve">业绩</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分，本项最多得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p>
          <w:p>
            <w:pPr>
              <w:widowControl w:val="off"/>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②提供标线、护栏类似业绩（内容可涉及</w:t>
            </w:r>
            <w:r>
              <w:rPr>
                <w:rFonts w:hint="eastAsia" w:ascii="宋体" w:hAnsi="宋体" w:cs="宋体"/>
                <w:sz w:val="24"/>
                <w:highlight w:val="none"/>
              </w:rPr>
              <w:t xml:space="preserve">交通标线</w:t>
            </w:r>
            <w:r>
              <w:rPr>
                <w:rFonts w:hint="eastAsia" w:ascii="宋体" w:hAnsi="宋体" w:cs="宋体"/>
                <w:sz w:val="24"/>
                <w:highlight w:val="none"/>
                <w:lang w:eastAsia="zh-CN"/>
              </w:rPr>
              <w:t xml:space="preserve">、</w:t>
            </w:r>
            <w:r>
              <w:rPr>
                <w:rFonts w:hint="eastAsia" w:ascii="宋体" w:hAnsi="宋体" w:cs="宋体"/>
                <w:sz w:val="24"/>
                <w:highlight w:val="none"/>
              </w:rPr>
              <w:t xml:space="preserve">护栏）</w:t>
            </w:r>
            <w:r>
              <w:rPr>
                <w:rFonts w:hint="eastAsia" w:ascii="宋体" w:hAnsi="宋体" w:eastAsia="宋体" w:cs="宋体"/>
                <w:sz w:val="24"/>
                <w:szCs w:val="24"/>
                <w:highlight w:val="none"/>
                <w:lang w:eastAsia="zh-CN"/>
              </w:rPr>
              <w:t xml:space="preserve">，每提供1个</w:t>
            </w:r>
            <w:r>
              <w:rPr>
                <w:rFonts w:hint="eastAsia" w:ascii="宋体" w:hAnsi="宋体" w:cs="宋体"/>
                <w:sz w:val="24"/>
                <w:szCs w:val="24"/>
                <w:highlight w:val="none"/>
                <w:lang w:eastAsia="zh-CN"/>
              </w:rPr>
              <w:t xml:space="preserve">业绩</w:t>
            </w:r>
            <w:r>
              <w:rPr>
                <w:rFonts w:hint="eastAsia" w:ascii="宋体" w:hAnsi="宋体" w:eastAsia="宋体" w:cs="宋体"/>
                <w:sz w:val="24"/>
                <w:szCs w:val="24"/>
                <w:highlight w:val="none"/>
                <w:lang w:eastAsia="zh-CN"/>
              </w:rPr>
              <w:t xml:space="preserve">得1分，本项最多得3分；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highlight w:val="none"/>
                <w:lang w:eastAsia="zh-CN"/>
              </w:rPr>
              <w:t xml:space="preserve">备注：每个业绩须同时提供合同及验收报告，时间以合同签订时间为准，提供不全的概不得分；原</w:t>
            </w:r>
            <w:r>
              <w:rPr>
                <w:rFonts w:hint="eastAsia" w:ascii="宋体" w:hAnsi="宋体" w:cs="宋体"/>
                <w:b/>
                <w:bCs/>
                <w:sz w:val="24"/>
                <w:szCs w:val="24"/>
                <w:highlight w:val="none"/>
                <w:lang w:eastAsia="zh-CN"/>
              </w:rPr>
              <w:t xml:space="preserve">材料</w:t>
            </w:r>
            <w:r>
              <w:rPr>
                <w:rFonts w:hint="eastAsia" w:ascii="宋体" w:hAnsi="宋体" w:eastAsia="宋体" w:cs="宋体"/>
                <w:b/>
                <w:bCs/>
                <w:sz w:val="24"/>
                <w:szCs w:val="24"/>
                <w:highlight w:val="none"/>
                <w:lang w:eastAsia="zh-CN"/>
              </w:rPr>
              <w:t xml:space="preserve">扫描件上传）。</w:t>
            </w:r>
            <w:r/>
          </w:p>
        </w:tc>
        <w:tc>
          <w:tcPr>
            <w:tcW w:w="363"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r>
      <w:tr>
        <w:trPr>
          <w:jc w:val="center"/>
          <w:trHeight w:val="329"/>
        </w:trPr>
        <w:tc>
          <w:tcPr>
            <w:tcW w:w="354" w:type="pct"/>
            <w:vAlign w:val="center"/>
            <w:textDirection w:val="lrTb"/>
            <w:noWrap w:val="false"/>
          </w:tcPr>
          <w:p>
            <w:pPr>
              <w:pStyle w:val="818"/>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986" w:type="pct"/>
            <w:vAlign w:val="center"/>
            <w:textDirection w:val="lrTb"/>
            <w:noWrap w:val="false"/>
          </w:tcPr>
          <w:p>
            <w:pPr>
              <w:pStyle w:val="818"/>
              <w:ind w:firstLine="0"/>
              <w:spacing w:line="360" w:lineRule="exact"/>
              <w:rPr>
                <w:rFonts w:ascii="宋体" w:hAnsi="宋体" w:eastAsia="宋体" w:cs="宋体"/>
                <w:color w:val="ff0000"/>
                <w:sz w:val="24"/>
                <w:szCs w:val="24"/>
                <w:lang w:eastAsia="zh-CN"/>
              </w:rPr>
            </w:pPr>
            <w:r>
              <w:rPr>
                <w:rFonts w:hint="eastAsia" w:ascii="宋体" w:hAnsi="宋体" w:eastAsia="宋体" w:cs="宋体"/>
                <w:color w:val="auto"/>
                <w:sz w:val="24"/>
                <w:szCs w:val="24"/>
                <w:lang w:eastAsia="zh-CN"/>
              </w:rPr>
              <w:t xml:space="preserve">方案部分（28分）</w:t>
            </w:r>
            <w:r/>
          </w:p>
        </w:tc>
        <w:tc>
          <w:tcPr>
            <w:tcW w:w="3296" w:type="pct"/>
            <w:vAlign w:val="center"/>
            <w:textDirection w:val="lrTb"/>
            <w:noWrap w:val="false"/>
          </w:tcPr>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1、现场踏勘方案（9分）：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方案能详细描述各点位建设要素，配有详细的点位图文分析（包括但不限于供电取接电、网络接入、安装位置、杆件规格、机柜等），并据此规划总体踏勘方案，所踏勘内容和采购清单比较能指导后续实施施工，进行详细性、合理性、规范性阐述。</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①勘探方案对各点位图文分析详细全面，总体方案合理，合乎规范的得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②勘探方案对各点位图文分析较详细全面，总体方案较合理，较合乎规范的得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③勘探方案对各点位图文分析基本全面，总体方案基本合理可行，基本合乎规范的得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2、施工组织方案（9分）：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根据投标人所提供的针对本次项目所编制的施工组织方案的阐述详细性、方案合理性、规范性、安全性，以及是否能满足建设单位整体项目工期的要求酌情打分；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①方案详细、表述准确、条理清晰、可操作性强、切实可行的得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②方案较详细、表述较准确、条理较清晰、可操作性较强的得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③方案基本详细、表述基本准确、条理基本清晰、可操作性一般的得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3、安装调试方案（5分）：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根据项目整体进度安排，制定合理的安装及调试方案，包括但不限于杆件、设备的安装调试；前端各子系统（建设点位）测试；各子系统的初调及联调等。</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①方案详细、表述准确、条理清晰、可操作性强、切实可行的得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②方案较详细、表述较准确、条理较清晰、可操作性较强的得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③方案基本详细、表述基本准确、条理基本清晰、可操作性一般的得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4、信号及数据接入方案（3分）：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根据项目建设的各子系统特点制定详细、合理、可行的信号及数据接入方案，确保前端各类信号及数据无缝接入交警机房各类服务器及平台，满足本次项目整体建设工期要求；</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①方案详细、表述准确、条理清晰、可操作性强、切实可行的得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②方案较详细、表述较准确、条理较清晰、可操作性较强的得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③方案基本详细、表述基本准确、条理基本清晰、可操作性一般的得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5、培训方案（2分）：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培训方案需合理，具体包括施工期间系统设备熟悉培训、操作使用培训、系统管理培训、应急预案培训、日常维护等必要的培训等。</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①培训方案详细、内容齐全、表述准确、条理清晰、可操作性强的得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②培训方案表述一般、内容较齐全、表述较准确、条理较清晰、具备一般可操作性的得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spacing w:line="400" w:lineRule="exact"/>
              <w:rPr>
                <w:lang w:eastAsia="zh-CN"/>
              </w:rPr>
            </w:pPr>
            <w:r>
              <w:rPr>
                <w:rFonts w:hint="eastAsia" w:ascii="Times New Roman" w:hAnsi="Times New Roman" w:eastAsia="宋体" w:cs="Times New Roman"/>
                <w:b/>
                <w:bCs/>
                <w:sz w:val="24"/>
                <w:szCs w:val="24"/>
                <w:lang w:eastAsia="zh-CN"/>
              </w:rPr>
              <w:t xml:space="preserve">注：需提供方案，不提供不得分。</w:t>
            </w:r>
            <w:r/>
          </w:p>
        </w:tc>
        <w:tc>
          <w:tcPr>
            <w:tcW w:w="363"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w:t>
            </w:r>
            <w:r/>
          </w:p>
        </w:tc>
      </w:tr>
      <w:tr>
        <w:trPr>
          <w:jc w:val="center"/>
          <w:trHeight w:val="882"/>
        </w:trPr>
        <w:tc>
          <w:tcPr>
            <w:tcW w:w="354" w:type="pct"/>
            <w:vAlign w:val="center"/>
            <w:textDirection w:val="lrTb"/>
            <w:noWrap w:val="false"/>
          </w:tcPr>
          <w:p>
            <w:pPr>
              <w:pStyle w:val="818"/>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986" w:type="pct"/>
            <w:vAlign w:val="center"/>
            <w:textDirection w:val="lrTb"/>
            <w:noWrap w:val="false"/>
          </w:tcPr>
          <w:p>
            <w:pPr>
              <w:pStyle w:val="818"/>
              <w:ind w:firstLine="0"/>
              <w:spacing w:line="3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售后部分（</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w:t>
            </w:r>
            <w:r/>
          </w:p>
        </w:tc>
        <w:tc>
          <w:tcPr>
            <w:tcW w:w="3296" w:type="pct"/>
            <w:vAlign w:val="center"/>
            <w:textDirection w:val="lrTb"/>
            <w:noWrap w:val="false"/>
          </w:tcPr>
          <w:p>
            <w:pPr>
              <w:numPr>
                <w:ilvl w:val="0"/>
                <w:numId w:val="8"/>
              </w:numPr>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供应商除满足本项目质保期要求外，针对本项目所有内容承诺免费质保期每延长一年可得1分，本项最多得3分。</w:t>
            </w:r>
            <w:r>
              <w:rPr>
                <w:rFonts w:hint="eastAsia" w:ascii="宋体" w:hAnsi="宋体" w:eastAsia="宋体" w:cs="宋体"/>
                <w:b/>
                <w:bCs/>
                <w:sz w:val="24"/>
                <w:szCs w:val="24"/>
                <w:lang w:eastAsia="zh-CN"/>
              </w:rPr>
              <w:t xml:space="preserve">(提供承诺书加盖公章上传，不提供不得分)</w:t>
            </w:r>
            <w:r/>
          </w:p>
          <w:p>
            <w:pPr>
              <w:numPr>
                <w:ilvl w:val="0"/>
                <w:numId w:val="0"/>
              </w:numPr>
              <w:widowControl w:val="off"/>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供应商能提供方便快捷的售后维修服务，针对本项目所有内容承诺能实时响应、1小时内赶到现场，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小时内排除解决前端硬件故障，超过</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小时无法现场修复的，免费用同品牌、同规格或更高的部件更换维修到位的得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b/>
                <w:bCs/>
                <w:sz w:val="24"/>
                <w:szCs w:val="24"/>
                <w:lang w:eastAsia="zh-CN"/>
              </w:rPr>
              <w:t xml:space="preserve">(提供承诺书加盖公章上传，不提供不得分)</w:t>
            </w:r>
            <w:r/>
          </w:p>
        </w:tc>
        <w:tc>
          <w:tcPr>
            <w:tcW w:w="363" w:type="pct"/>
            <w:vAlign w:val="center"/>
            <w:textDirection w:val="lrTb"/>
            <w:noWrap w:val="false"/>
          </w:tcPr>
          <w:p>
            <w:pPr>
              <w:pStyle w:val="818"/>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r>
    </w:tbl>
    <w:p>
      <w:pPr>
        <w:keepLines w:val="0"/>
        <w:keepNext w:val="0"/>
        <w:pageBreakBefore w:val="0"/>
        <w:spacing w:line="360" w:lineRule="auto"/>
        <w:widowControl w:val="off"/>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rPr>
        <w:t xml:space="preserve">注</w:t>
      </w:r>
      <w:r>
        <w:rPr>
          <w:rFonts w:hint="eastAsia" w:ascii="宋体" w:hAnsi="宋体" w:cs="宋体"/>
          <w:b w:val="0"/>
          <w:bCs w:val="0"/>
          <w:color w:val="auto"/>
          <w:sz w:val="24"/>
          <w:szCs w:val="24"/>
          <w:lang w:eastAsia="zh-CN"/>
        </w:rPr>
        <w:t xml:space="preserve">：</w:t>
      </w:r>
      <w:r/>
    </w:p>
    <w:p>
      <w:pPr>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color w:val="auto"/>
          <w:sz w:val="24"/>
          <w:szCs w:val="24"/>
        </w:rPr>
        <w:t xml:space="preserve">，用投标文件制作工具制作并生成上传至苏采云平台，纸质文件不作为审查对象。</w:t>
      </w:r>
      <w:r/>
    </w:p>
    <w:p>
      <w:pPr>
        <w:keepLines w:val="0"/>
        <w:keepNext w:val="0"/>
        <w:pageBreakBefore w:val="0"/>
        <w:spacing w:line="360" w:lineRule="auto"/>
        <w:widowControl w:val="off"/>
        <w:rPr>
          <w:rFonts w:hint="eastAsia" w:ascii="宋体" w:hAnsi="宋体" w:cs="宋体"/>
          <w:b/>
          <w:bCs/>
          <w:color w:val="auto"/>
          <w:sz w:val="36"/>
          <w:szCs w:val="36"/>
        </w:rPr>
      </w:pPr>
      <w:r>
        <w:rPr>
          <w:rFonts w:hint="eastAsia" w:ascii="宋体" w:hAnsi="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Pr>
        <w:t xml:space="preserve">投标人所提供的资格证明材料应真实、有效，招标人保留对投标人提供的资格证明材料进行核查的权利。如发现投标人提供虚假资格证明材料，履约保证金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 xml:space="preserve">将不予退</w:t>
      </w:r>
      <w:r>
        <w:rPr>
          <w:rFonts w:hint="eastAsia" w:ascii="宋体" w:hAnsi="宋体" w:cs="宋体"/>
          <w:b w:val="0"/>
          <w:bCs w:val="0"/>
          <w:color w:val="auto"/>
          <w:sz w:val="24"/>
          <w:szCs w:val="24"/>
        </w:rPr>
        <w:t xml:space="preserve">还，招标人有权终止合同。</w:t>
      </w:r>
      <w:r/>
    </w:p>
    <w:p>
      <w:pPr>
        <w:rPr>
          <w:rFonts w:hint="eastAsia" w:ascii="宋体" w:hAnsi="宋体" w:cs="宋体"/>
          <w:b/>
          <w:bCs/>
          <w:color w:val="auto"/>
          <w:sz w:val="36"/>
          <w:szCs w:val="36"/>
        </w:rPr>
      </w:pPr>
      <w:r>
        <w:rPr>
          <w:rFonts w:hint="eastAsia" w:ascii="宋体" w:hAnsi="宋体" w:cs="宋体"/>
          <w:b/>
          <w:bCs/>
          <w:color w:val="auto"/>
          <w:sz w:val="36"/>
          <w:szCs w:val="36"/>
        </w:rPr>
        <w:br w:type="page" w:clear="all"/>
      </w:r>
      <w:bookmarkEnd w:id="9"/>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bookmarkStart w:id="10" w:name="_Toc9610_WPSOffice_Level1"/>
      <w:r>
        <w:rPr>
          <w:rFonts w:hint="eastAsia" w:ascii="宋体" w:hAnsi="宋体" w:eastAsia="宋体" w:cs="宋体"/>
          <w:b/>
          <w:color w:val="auto"/>
          <w:sz w:val="36"/>
          <w:szCs w:val="36"/>
        </w:rPr>
        <w:t xml:space="preserve">第四章 合同格式及条款</w:t>
      </w:r>
      <w:r/>
    </w:p>
    <w:p>
      <w:pPr>
        <w:pStyle w:val="821"/>
        <w:ind w:left="177"/>
        <w:keepLines w:val="0"/>
        <w:keepNext w:val="0"/>
        <w:pageBreakBefore w:val="0"/>
        <w:spacing w:before="145" w:line="240" w:lineRule="auto"/>
        <w:widowControl w:val="off"/>
        <w:rPr>
          <w:rFonts w:hint="eastAsia" w:ascii="宋体" w:hAnsi="宋体" w:eastAsia="宋体" w:cs="宋体"/>
          <w:sz w:val="24"/>
          <w:szCs w:val="24"/>
        </w:rPr>
      </w:pPr>
      <w:r>
        <w:rPr>
          <w:rFonts w:hint="eastAsia" w:ascii="宋体" w:hAnsi="宋体" w:eastAsia="宋体" w:cs="宋体"/>
          <w:position w:val="14"/>
          <w:sz w:val="24"/>
          <w:szCs w:val="24"/>
        </w:rPr>
        <w:t xml:space="preserve">注:以下为采购人提出成交后签订本项目合同的条款，供应商必</w:t>
      </w:r>
      <w:r>
        <w:rPr>
          <w:rFonts w:hint="eastAsia" w:ascii="宋体" w:hAnsi="宋体" w:eastAsia="宋体" w:cs="宋体"/>
          <w:spacing w:val="-1"/>
          <w:position w:val="14"/>
          <w:sz w:val="24"/>
          <w:szCs w:val="24"/>
        </w:rPr>
        <w:t xml:space="preserve">须实质性响应，成交供应</w:t>
      </w:r>
      <w:r/>
    </w:p>
    <w:p>
      <w:pPr>
        <w:pStyle w:val="821"/>
        <w:ind w:left="182"/>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商不得提出实质性的修改，关于专用条款将由采购人</w:t>
      </w:r>
      <w:r>
        <w:rPr>
          <w:rFonts w:hint="eastAsia" w:ascii="宋体" w:hAnsi="宋体" w:eastAsia="宋体" w:cs="宋体"/>
          <w:spacing w:val="-1"/>
          <w:sz w:val="24"/>
          <w:szCs w:val="24"/>
        </w:rPr>
        <w:t xml:space="preserve">与成交供应商结合本项目具体情况协</w:t>
      </w:r>
      <w:r/>
    </w:p>
    <w:p>
      <w:pPr>
        <w:pStyle w:val="821"/>
        <w:ind w:left="182"/>
        <w:keepLines w:val="0"/>
        <w:keepNext w:val="0"/>
        <w:pageBreakBefore w:val="0"/>
        <w:spacing w:before="15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商后签订。</w:t>
      </w:r>
      <w:r/>
    </w:p>
    <w:p>
      <w:pPr>
        <w:pStyle w:val="821"/>
        <w:ind w:left="4009"/>
        <w:keepLines w:val="0"/>
        <w:keepNext w:val="0"/>
        <w:pageBreakBefore w:val="0"/>
        <w:spacing w:before="55"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合同条款前附表</w:t>
      </w:r>
      <w:r/>
    </w:p>
    <w:tbl>
      <w:tblPr>
        <w:tblStyle w:val="1140"/>
        <w:tblW w:w="9560" w:type="dxa"/>
        <w:tblInd w:w="1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8426"/>
      </w:tblGrid>
      <w:tr>
        <w:trPr>
          <w:trHeight w:val="424"/>
        </w:trPr>
        <w:tc>
          <w:tcPr>
            <w:tcW w:w="1134" w:type="dxa"/>
            <w:textDirection w:val="lrTb"/>
            <w:noWrap w:val="false"/>
          </w:tcPr>
          <w:p>
            <w:pPr>
              <w:pStyle w:val="1139"/>
              <w:ind w:left="117"/>
              <w:keepLines w:val="0"/>
              <w:keepNext w:val="0"/>
              <w:pageBreakBefore w:val="0"/>
              <w:spacing w:before="72"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序</w:t>
            </w:r>
            <w:r>
              <w:rPr>
                <w:rFonts w:hint="eastAsia" w:ascii="宋体" w:hAnsi="宋体" w:eastAsia="宋体" w:cs="宋体"/>
                <w:spacing w:val="15"/>
                <w:sz w:val="24"/>
                <w:szCs w:val="24"/>
              </w:rPr>
              <w:t xml:space="preserve"> </w:t>
            </w:r>
            <w:r>
              <w:rPr>
                <w:rFonts w:hint="eastAsia" w:ascii="宋体" w:hAnsi="宋体" w:eastAsia="宋体" w:cs="宋体"/>
                <w:spacing w:val="-5"/>
                <w:sz w:val="24"/>
                <w:szCs w:val="24"/>
              </w:rPr>
              <w:t xml:space="preserve">号</w:t>
            </w:r>
            <w:r/>
          </w:p>
        </w:tc>
        <w:tc>
          <w:tcPr>
            <w:tcW w:w="8426" w:type="dxa"/>
            <w:textDirection w:val="lrTb"/>
            <w:noWrap w:val="false"/>
          </w:tcPr>
          <w:p>
            <w:pPr>
              <w:pStyle w:val="1139"/>
              <w:ind w:left="2927"/>
              <w:keepLines w:val="0"/>
              <w:keepNext w:val="0"/>
              <w:pageBreakBefore w:val="0"/>
              <w:spacing w:before="72" w:line="240" w:lineRule="auto"/>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内</w:t>
            </w:r>
            <w:r>
              <w:rPr>
                <w:rFonts w:hint="eastAsia" w:ascii="宋体" w:hAnsi="宋体" w:eastAsia="宋体" w:cs="宋体"/>
                <w:sz w:val="24"/>
                <w:szCs w:val="24"/>
              </w:rPr>
              <w:t xml:space="preserve">       </w:t>
            </w:r>
            <w:r>
              <w:rPr>
                <w:rFonts w:hint="eastAsia" w:ascii="宋体" w:hAnsi="宋体" w:eastAsia="宋体" w:cs="宋体"/>
                <w:spacing w:val="-20"/>
                <w:sz w:val="24"/>
                <w:szCs w:val="24"/>
              </w:rPr>
              <w:t xml:space="preserve">容</w:t>
            </w:r>
            <w:r/>
          </w:p>
        </w:tc>
      </w:tr>
      <w:tr>
        <w:trPr>
          <w:trHeight w:val="719"/>
        </w:trPr>
        <w:tc>
          <w:tcPr>
            <w:tcW w:w="1134" w:type="dxa"/>
            <w:textDirection w:val="lrTb"/>
            <w:noWrap w:val="false"/>
          </w:tcPr>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139"/>
              <w:ind w:left="531"/>
              <w:keepLines w:val="0"/>
              <w:keepNext w:val="0"/>
              <w:pageBreakBefore w:val="0"/>
              <w:spacing w:before="78"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8426" w:type="dxa"/>
            <w:textDirection w:val="lrTb"/>
            <w:noWrap w:val="false"/>
          </w:tcPr>
          <w:p>
            <w:pPr>
              <w:keepLines w:val="0"/>
              <w:keepNext w:val="0"/>
              <w:pageBreakBefore w:val="0"/>
              <w:spacing w:line="240" w:lineRule="auto"/>
              <w:widowControl w:val="off"/>
              <w:tabs>
                <w:tab w:val="left" w:pos="567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付款均应按下列条件进行：</w:t>
            </w:r>
            <w:r/>
          </w:p>
          <w:p>
            <w:pPr>
              <w:pStyle w:val="1139"/>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合同签订后预付合同总额的40%</w:t>
            </w:r>
            <w:r>
              <w:rPr>
                <w:rFonts w:hint="eastAsia" w:cs="宋体"/>
                <w:sz w:val="24"/>
                <w:szCs w:val="24"/>
                <w:highlight w:val="none"/>
                <w:lang w:eastAsia="zh-CN"/>
              </w:rPr>
              <w:t xml:space="preserve">，</w:t>
            </w:r>
            <w:r>
              <w:rPr>
                <w:rFonts w:hint="eastAsia" w:ascii="宋体" w:hAnsi="宋体" w:eastAsia="宋体" w:cs="宋体"/>
                <w:sz w:val="24"/>
                <w:szCs w:val="24"/>
                <w:highlight w:val="none"/>
                <w:lang w:eastAsia="zh-CN"/>
              </w:rPr>
              <w:t xml:space="preserve">所有设备供货安装调试结束，验收合格后</w:t>
            </w:r>
            <w:r>
              <w:rPr>
                <w:rFonts w:hint="eastAsia" w:cs="宋体"/>
                <w:sz w:val="24"/>
                <w:szCs w:val="24"/>
                <w:highlight w:val="none"/>
                <w:lang w:eastAsia="zh-CN"/>
              </w:rPr>
              <w:t xml:space="preserve">付至合同价款的</w:t>
            </w:r>
            <w:r>
              <w:rPr>
                <w:rFonts w:hint="eastAsia" w:cs="宋体"/>
                <w:sz w:val="24"/>
                <w:szCs w:val="24"/>
                <w:highlight w:val="none"/>
                <w:lang w:val="en-US" w:eastAsia="zh-CN"/>
              </w:rPr>
              <w:t xml:space="preserve">80%，试运营满6个月后无问题按</w:t>
            </w:r>
            <w:r>
              <w:rPr>
                <w:rFonts w:hint="eastAsia" w:ascii="宋体" w:hAnsi="宋体" w:eastAsia="宋体" w:cs="宋体"/>
                <w:sz w:val="24"/>
                <w:szCs w:val="24"/>
                <w:highlight w:val="none"/>
                <w:lang w:eastAsia="zh-CN"/>
              </w:rPr>
              <w:t xml:space="preserve">审计结算价款</w:t>
            </w:r>
            <w:r>
              <w:rPr>
                <w:rFonts w:hint="eastAsia" w:cs="宋体"/>
                <w:sz w:val="24"/>
                <w:szCs w:val="24"/>
                <w:highlight w:val="none"/>
                <w:lang w:eastAsia="zh-CN"/>
              </w:rPr>
              <w:t xml:space="preserve">付清</w:t>
            </w:r>
            <w:r>
              <w:rPr>
                <w:rFonts w:hint="eastAsia" w:ascii="宋体" w:hAnsi="宋体" w:eastAsia="宋体" w:cs="宋体"/>
                <w:sz w:val="24"/>
                <w:szCs w:val="24"/>
                <w:highlight w:val="none"/>
                <w:lang w:eastAsia="zh-CN"/>
              </w:rPr>
              <w:t xml:space="preserve">（不含利息）</w:t>
            </w:r>
            <w:r>
              <w:rPr>
                <w:rFonts w:hint="eastAsia" w:ascii="宋体" w:hAnsi="宋体" w:eastAsia="宋体" w:cs="宋体"/>
                <w:sz w:val="24"/>
                <w:szCs w:val="24"/>
                <w:highlight w:val="none"/>
              </w:rPr>
              <w:t xml:space="preserve">（甲方支付款项前，乙方须按甲方要求出具等额的真实发票）。</w:t>
            </w:r>
            <w:r/>
          </w:p>
        </w:tc>
      </w:tr>
      <w:tr>
        <w:trPr>
          <w:trHeight w:val="471"/>
        </w:trPr>
        <w:tc>
          <w:tcPr>
            <w:tcW w:w="1134" w:type="dxa"/>
            <w:textDirection w:val="lrTb"/>
            <w:noWrap w:val="false"/>
          </w:tcPr>
          <w:p>
            <w:pPr>
              <w:pStyle w:val="1139"/>
              <w:ind w:left="517"/>
              <w:keepLines w:val="0"/>
              <w:keepNext w:val="0"/>
              <w:pageBreakBefore w:val="0"/>
              <w:spacing w:before="78"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8426" w:type="dxa"/>
            <w:textDirection w:val="lrTb"/>
            <w:noWrap w:val="false"/>
          </w:tcPr>
          <w:p>
            <w:pPr>
              <w:pStyle w:val="1139"/>
              <w:ind w:left="113"/>
              <w:keepLines w:val="0"/>
              <w:keepNext w:val="0"/>
              <w:pageBreakBefore w:val="0"/>
              <w:spacing w:before="151"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highlight w:val="none"/>
                <w:lang w:eastAsia="zh-CN"/>
              </w:rPr>
              <w:t xml:space="preserve">暂定90日历天（具体以招标人通知时间为准）</w:t>
            </w:r>
            <w:r/>
          </w:p>
        </w:tc>
      </w:tr>
      <w:tr>
        <w:trPr>
          <w:trHeight w:val="476"/>
        </w:trPr>
        <w:tc>
          <w:tcPr>
            <w:tcW w:w="1134" w:type="dxa"/>
            <w:textDirection w:val="lrTb"/>
            <w:noWrap w:val="false"/>
          </w:tcPr>
          <w:p>
            <w:pPr>
              <w:pStyle w:val="1139"/>
              <w:ind w:left="518"/>
              <w:keepLines w:val="0"/>
              <w:keepNext w:val="0"/>
              <w:pageBreakBefore w:val="0"/>
              <w:spacing w:before="79"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8426" w:type="dxa"/>
            <w:textDirection w:val="lrTb"/>
            <w:noWrap w:val="false"/>
          </w:tcPr>
          <w:p>
            <w:pPr>
              <w:pStyle w:val="1139"/>
              <w:ind w:left="116"/>
              <w:keepLines w:val="0"/>
              <w:keepNext w:val="0"/>
              <w:pageBreakBefore w:val="0"/>
              <w:spacing w:before="152"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项目实施地点：由采购人指定。</w:t>
            </w:r>
            <w:r/>
          </w:p>
        </w:tc>
      </w:tr>
    </w:tbl>
    <w:p>
      <w:pPr>
        <w:pStyle w:val="821"/>
        <w:ind w:left="4584"/>
        <w:keepLines w:val="0"/>
        <w:keepNext w:val="0"/>
        <w:pageBreakBefore w:val="0"/>
        <w:spacing w:before="114"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合同</w:t>
      </w:r>
      <w:r>
        <w:rPr>
          <w:rFonts w:hint="eastAsia" w:ascii="宋体" w:hAnsi="宋体" w:eastAsia="宋体" w:cs="宋体"/>
          <w:b/>
          <w:bCs/>
          <w:spacing w:val="-3"/>
          <w:sz w:val="24"/>
          <w:szCs w:val="24"/>
          <w:lang w:eastAsia="zh-CN"/>
        </w:rPr>
        <w:t xml:space="preserve">通用</w:t>
      </w:r>
      <w:r>
        <w:rPr>
          <w:rFonts w:hint="eastAsia" w:ascii="宋体" w:hAnsi="宋体" w:eastAsia="宋体" w:cs="宋体"/>
          <w:b/>
          <w:bCs/>
          <w:spacing w:val="-3"/>
          <w:sz w:val="24"/>
          <w:szCs w:val="24"/>
        </w:rPr>
        <w:t xml:space="preserve">条款</w:t>
      </w:r>
      <w:r/>
    </w:p>
    <w:p>
      <w:pPr>
        <w:pStyle w:val="821"/>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1.定义</w:t>
      </w:r>
      <w:r/>
    </w:p>
    <w:p>
      <w:pPr>
        <w:pStyle w:val="821"/>
        <w:ind w:firstLine="48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本合同中下列术语应解释为:</w:t>
      </w:r>
      <w:r/>
    </w:p>
    <w:p>
      <w:pPr>
        <w:pStyle w:val="821"/>
        <w:ind w:left="177" w:right="218" w:firstLine="37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（1）“合同</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”系指甲方和乙方（以下简称合同双</w:t>
      </w:r>
      <w:r>
        <w:rPr>
          <w:rFonts w:hint="eastAsia" w:ascii="宋体" w:hAnsi="宋体" w:eastAsia="宋体" w:cs="宋体"/>
          <w:spacing w:val="-2"/>
          <w:sz w:val="24"/>
          <w:szCs w:val="24"/>
        </w:rPr>
        <w:t xml:space="preserve">方）签署的、合同格式中列明的合同</w:t>
      </w:r>
      <w:r>
        <w:rPr>
          <w:rFonts w:hint="eastAsia" w:ascii="宋体" w:hAnsi="宋体" w:eastAsia="宋体" w:cs="宋体"/>
          <w:sz w:val="24"/>
          <w:szCs w:val="24"/>
        </w:rPr>
        <w:t xml:space="preserve"> 双方所达成的协议，包括所有的附件、附录</w:t>
      </w:r>
      <w:r>
        <w:rPr>
          <w:rFonts w:hint="eastAsia" w:ascii="宋体" w:hAnsi="宋体" w:eastAsia="宋体" w:cs="宋体"/>
          <w:spacing w:val="-1"/>
          <w:sz w:val="24"/>
          <w:szCs w:val="24"/>
        </w:rPr>
        <w:t xml:space="preserve">和构成合同的所有文件。</w:t>
      </w:r>
      <w:r/>
    </w:p>
    <w:p>
      <w:pPr>
        <w:pStyle w:val="821"/>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（2）“合同价</w:t>
      </w:r>
      <w:r>
        <w:rPr>
          <w:rFonts w:hint="eastAsia" w:ascii="宋体" w:hAnsi="宋体" w:eastAsia="宋体" w:cs="宋体"/>
          <w:spacing w:val="-88"/>
          <w:position w:val="11"/>
          <w:sz w:val="24"/>
          <w:szCs w:val="24"/>
        </w:rPr>
        <w:t xml:space="preserve"> </w:t>
      </w:r>
      <w:r>
        <w:rPr>
          <w:rFonts w:hint="eastAsia" w:ascii="宋体" w:hAnsi="宋体" w:eastAsia="宋体" w:cs="宋体"/>
          <w:spacing w:val="-1"/>
          <w:position w:val="11"/>
          <w:sz w:val="24"/>
          <w:szCs w:val="24"/>
        </w:rPr>
        <w:t xml:space="preserve">”系指根据合同规定，乙方在完全</w:t>
      </w:r>
      <w:r>
        <w:rPr>
          <w:rFonts w:hint="eastAsia" w:ascii="宋体" w:hAnsi="宋体" w:eastAsia="宋体" w:cs="宋体"/>
          <w:spacing w:val="-2"/>
          <w:position w:val="11"/>
          <w:sz w:val="24"/>
          <w:szCs w:val="24"/>
        </w:rPr>
        <w:t xml:space="preserve">履行合同义务后甲方应支付给乙方的</w:t>
      </w:r>
      <w:r/>
    </w:p>
    <w:p>
      <w:pPr>
        <w:pStyle w:val="821"/>
        <w:ind w:left="17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价格。</w:t>
      </w:r>
      <w:r/>
    </w:p>
    <w:p>
      <w:pPr>
        <w:pStyle w:val="821"/>
        <w:ind w:left="177" w:right="218" w:firstLine="371"/>
        <w:keepLines w:val="0"/>
        <w:keepNext w:val="0"/>
        <w:pageBreakBefore w:val="0"/>
        <w:spacing w:before="115" w:line="24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（3）“货物（含软件及相关服务） ”系指乙方按合同要求，须向甲方提供的一切设备、机械、仪表、备件、工具、技术及手册等有关材料。</w:t>
      </w:r>
      <w:r/>
    </w:p>
    <w:p>
      <w:pPr>
        <w:pStyle w:val="821"/>
        <w:ind w:left="204" w:right="218" w:firstLine="34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”系指根据合同规定乙方承担与供货</w:t>
      </w:r>
      <w:r>
        <w:rPr>
          <w:rFonts w:hint="eastAsia" w:ascii="宋体" w:hAnsi="宋体" w:eastAsia="宋体" w:cs="宋体"/>
          <w:spacing w:val="-2"/>
          <w:sz w:val="24"/>
          <w:szCs w:val="24"/>
        </w:rPr>
        <w:t xml:space="preserve">有关的所有辅助服务，如运输、保险</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以及</w:t>
      </w:r>
      <w:r>
        <w:rPr>
          <w:rFonts w:hint="eastAsia" w:ascii="宋体" w:hAnsi="宋体" w:eastAsia="宋体" w:cs="宋体"/>
          <w:spacing w:val="-1"/>
          <w:sz w:val="24"/>
          <w:szCs w:val="24"/>
          <w:lang w:eastAsia="zh-CN"/>
        </w:rPr>
        <w:t xml:space="preserve">其他</w:t>
      </w:r>
      <w:r>
        <w:rPr>
          <w:rFonts w:hint="eastAsia" w:ascii="宋体" w:hAnsi="宋体" w:eastAsia="宋体" w:cs="宋体"/>
          <w:spacing w:val="-1"/>
          <w:sz w:val="24"/>
          <w:szCs w:val="24"/>
        </w:rPr>
        <w:t xml:space="preserve">的服务，如安装、调试、提供技术援助、培训和其他类</w:t>
      </w:r>
      <w:r>
        <w:rPr>
          <w:rFonts w:hint="eastAsia" w:ascii="宋体" w:hAnsi="宋体" w:eastAsia="宋体" w:cs="宋体"/>
          <w:spacing w:val="-2"/>
          <w:sz w:val="24"/>
          <w:szCs w:val="24"/>
        </w:rPr>
        <w:t xml:space="preserve">似的义务。</w:t>
      </w:r>
      <w:r/>
    </w:p>
    <w:p>
      <w:pPr>
        <w:pStyle w:val="821"/>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（5）“</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 xml:space="preserve">甲方</w:t>
      </w:r>
      <w:r>
        <w:rPr>
          <w:rFonts w:hint="eastAsia" w:ascii="宋体" w:hAnsi="宋体" w:eastAsia="宋体" w:cs="宋体"/>
          <w:spacing w:val="-88"/>
          <w:sz w:val="24"/>
          <w:szCs w:val="24"/>
        </w:rPr>
        <w:t xml:space="preserve"> </w:t>
      </w:r>
      <w:r>
        <w:rPr>
          <w:rFonts w:hint="eastAsia" w:ascii="宋体" w:hAnsi="宋体" w:eastAsia="宋体" w:cs="宋体"/>
          <w:spacing w:val="-5"/>
          <w:sz w:val="24"/>
          <w:szCs w:val="24"/>
        </w:rPr>
        <w:t xml:space="preserve">”系指</w:t>
      </w:r>
      <w:r>
        <w:rPr>
          <w:rFonts w:hint="eastAsia" w:ascii="宋体" w:hAnsi="宋体" w:eastAsia="宋体" w:cs="宋体"/>
          <w:spacing w:val="-5"/>
          <w:sz w:val="24"/>
          <w:szCs w:val="24"/>
          <w:lang w:eastAsia="zh-CN"/>
        </w:rPr>
        <w:t xml:space="preserve">金湖县住房和城乡建设局</w:t>
      </w:r>
      <w:r>
        <w:rPr>
          <w:rFonts w:hint="eastAsia" w:ascii="宋体" w:hAnsi="宋体" w:eastAsia="宋体" w:cs="宋体"/>
          <w:spacing w:val="-5"/>
          <w:sz w:val="24"/>
          <w:szCs w:val="24"/>
        </w:rPr>
        <w:t xml:space="preserve">。</w:t>
      </w:r>
      <w:r/>
    </w:p>
    <w:p>
      <w:pPr>
        <w:pStyle w:val="821"/>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8"/>
          <w:position w:val="11"/>
          <w:sz w:val="24"/>
          <w:szCs w:val="24"/>
        </w:rPr>
        <w:t xml:space="preserve">（6）“</w:t>
      </w:r>
      <w:r>
        <w:rPr>
          <w:rFonts w:hint="eastAsia" w:ascii="宋体" w:hAnsi="宋体" w:eastAsia="宋体" w:cs="宋体"/>
          <w:spacing w:val="-86"/>
          <w:position w:val="11"/>
          <w:sz w:val="24"/>
          <w:szCs w:val="24"/>
        </w:rPr>
        <w:t xml:space="preserve"> </w:t>
      </w:r>
      <w:r>
        <w:rPr>
          <w:rFonts w:hint="eastAsia" w:ascii="宋体" w:hAnsi="宋体" w:eastAsia="宋体" w:cs="宋体"/>
          <w:spacing w:val="-8"/>
          <w:position w:val="11"/>
          <w:sz w:val="24"/>
          <w:szCs w:val="24"/>
        </w:rPr>
        <w:t xml:space="preserve">乙方</w:t>
      </w:r>
      <w:r>
        <w:rPr>
          <w:rFonts w:hint="eastAsia" w:ascii="宋体" w:hAnsi="宋体" w:eastAsia="宋体" w:cs="宋体"/>
          <w:spacing w:val="-88"/>
          <w:position w:val="11"/>
          <w:sz w:val="24"/>
          <w:szCs w:val="24"/>
        </w:rPr>
        <w:t xml:space="preserve"> </w:t>
      </w:r>
      <w:r>
        <w:rPr>
          <w:rFonts w:hint="eastAsia" w:ascii="宋体" w:hAnsi="宋体" w:eastAsia="宋体" w:cs="宋体"/>
          <w:spacing w:val="-8"/>
          <w:position w:val="11"/>
          <w:sz w:val="24"/>
          <w:szCs w:val="24"/>
        </w:rPr>
        <w:t xml:space="preserve">”系指提供货物和服务的供应商。</w:t>
      </w:r>
      <w:r/>
    </w:p>
    <w:p>
      <w:pPr>
        <w:pStyle w:val="821"/>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2.技术规范</w:t>
      </w:r>
      <w:r/>
    </w:p>
    <w:p>
      <w:pPr>
        <w:pStyle w:val="821"/>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2.1提交货物（含软件及相关服务）的技术规范应与</w:t>
      </w:r>
      <w:r>
        <w:rPr>
          <w:rFonts w:hint="eastAsia" w:ascii="宋体" w:hAnsi="宋体" w:eastAsia="宋体" w:cs="宋体"/>
          <w:spacing w:val="-2"/>
          <w:sz w:val="24"/>
          <w:szCs w:val="24"/>
        </w:rPr>
        <w:t xml:space="preserve">招标文件的技术规范和技术规</w:t>
      </w:r>
      <w:r>
        <w:rPr>
          <w:rFonts w:hint="eastAsia" w:ascii="宋体" w:hAnsi="宋体" w:eastAsia="宋体" w:cs="宋体"/>
          <w:sz w:val="24"/>
          <w:szCs w:val="24"/>
        </w:rPr>
        <w:t xml:space="preserve">范附件（如果有的话）及投标文件的规格响应表（如果被甲方</w:t>
      </w:r>
      <w:r>
        <w:rPr>
          <w:rFonts w:hint="eastAsia" w:ascii="宋体" w:hAnsi="宋体" w:eastAsia="宋体" w:cs="宋体"/>
          <w:spacing w:val="-1"/>
          <w:sz w:val="24"/>
          <w:szCs w:val="24"/>
        </w:rPr>
        <w:t xml:space="preserve">接受的话）相一致。若技术</w:t>
      </w:r>
      <w:r>
        <w:rPr>
          <w:rFonts w:hint="eastAsia" w:ascii="宋体" w:hAnsi="宋体" w:eastAsia="宋体" w:cs="宋体"/>
          <w:sz w:val="24"/>
          <w:szCs w:val="24"/>
        </w:rPr>
        <w:t xml:space="preserve">规范中无相应说明，则以国家有关部门最新颁</w:t>
      </w:r>
      <w:r>
        <w:rPr>
          <w:rFonts w:hint="eastAsia" w:ascii="宋体" w:hAnsi="宋体" w:eastAsia="宋体" w:cs="宋体"/>
          <w:spacing w:val="-1"/>
          <w:sz w:val="24"/>
          <w:szCs w:val="24"/>
        </w:rPr>
        <w:t xml:space="preserve">布的相应标准及规范为准。</w:t>
      </w:r>
      <w:r/>
    </w:p>
    <w:p>
      <w:pPr>
        <w:pStyle w:val="821"/>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3.专利权</w:t>
      </w:r>
      <w:r/>
    </w:p>
    <w:p>
      <w:pPr>
        <w:pStyle w:val="821"/>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3.1乙方须保障甲方在使用该货物（含软件及相</w:t>
      </w:r>
      <w:r>
        <w:rPr>
          <w:rFonts w:hint="eastAsia" w:ascii="宋体" w:hAnsi="宋体" w:eastAsia="宋体" w:cs="宋体"/>
          <w:spacing w:val="-2"/>
          <w:sz w:val="24"/>
          <w:szCs w:val="24"/>
        </w:rPr>
        <w:t xml:space="preserve">关服务）或其任何一部分时不受到</w:t>
      </w:r>
      <w:r>
        <w:rPr>
          <w:rFonts w:hint="eastAsia" w:ascii="宋体" w:hAnsi="宋体" w:eastAsia="宋体" w:cs="宋体"/>
          <w:sz w:val="24"/>
          <w:szCs w:val="24"/>
        </w:rPr>
        <w:t xml:space="preserve">第三方关于侵犯专利权、商标权、版权、专有技术等权利的指控</w:t>
      </w:r>
      <w:r>
        <w:rPr>
          <w:rFonts w:hint="eastAsia" w:ascii="宋体" w:hAnsi="宋体" w:eastAsia="宋体" w:cs="宋体"/>
          <w:spacing w:val="-1"/>
          <w:sz w:val="24"/>
          <w:szCs w:val="24"/>
        </w:rPr>
        <w:t xml:space="preserve">。如果任何第三方提出侵</w:t>
      </w:r>
      <w:r>
        <w:rPr>
          <w:rFonts w:hint="eastAsia" w:ascii="宋体" w:hAnsi="宋体" w:eastAsia="宋体" w:cs="宋体"/>
          <w:sz w:val="24"/>
          <w:szCs w:val="24"/>
        </w:rPr>
        <w:t xml:space="preserve">权指控，乙方须与第三方交涉并承担可能发</w:t>
      </w:r>
      <w:r>
        <w:rPr>
          <w:rFonts w:hint="eastAsia" w:ascii="宋体" w:hAnsi="宋体" w:eastAsia="宋体" w:cs="宋体"/>
          <w:spacing w:val="-1"/>
          <w:sz w:val="24"/>
          <w:szCs w:val="24"/>
        </w:rPr>
        <w:t xml:space="preserve">生的一切损失和费用。</w:t>
      </w:r>
      <w:r/>
    </w:p>
    <w:p>
      <w:pPr>
        <w:pStyle w:val="821"/>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4.包装要求</w:t>
      </w:r>
      <w:r/>
    </w:p>
    <w:p>
      <w:pPr>
        <w:keepLines w:val="0"/>
        <w:keepNext w:val="0"/>
        <w:pageBreakBefore w:val="0"/>
        <w:spacing w:line="240" w:lineRule="auto"/>
        <w:widowControl w:val="off"/>
        <w:rPr>
          <w:rFonts w:hint="eastAsia" w:ascii="宋体" w:hAnsi="宋体" w:eastAsia="宋体" w:cs="宋体"/>
          <w:sz w:val="24"/>
          <w:szCs w:val="24"/>
        </w:rPr>
        <w:sectPr>
          <w:footerReference w:type="default" r:id="rId9"/>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rPr>
      </w:r>
      <w:r/>
    </w:p>
    <w:p>
      <w:pPr>
        <w:pStyle w:val="821"/>
        <w:ind w:right="218" w:firstLine="472"/>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4.1除合同另有规定外，乙方提供的全部货物（含软件及相关服务</w:t>
      </w:r>
      <w:r>
        <w:rPr>
          <w:rFonts w:hint="eastAsia" w:ascii="宋体" w:hAnsi="宋体" w:eastAsia="宋体" w:cs="宋体"/>
          <w:spacing w:val="12"/>
          <w:sz w:val="24"/>
          <w:szCs w:val="24"/>
        </w:rPr>
        <w:t xml:space="preserve">），</w:t>
      </w:r>
      <w:r>
        <w:rPr>
          <w:rFonts w:hint="eastAsia" w:ascii="宋体" w:hAnsi="宋体" w:eastAsia="宋体" w:cs="宋体"/>
          <w:spacing w:val="-2"/>
          <w:sz w:val="24"/>
          <w:szCs w:val="24"/>
        </w:rPr>
        <w:t xml:space="preserve">均应按相应</w:t>
      </w:r>
      <w:r>
        <w:rPr>
          <w:rFonts w:hint="eastAsia" w:ascii="宋体" w:hAnsi="宋体" w:eastAsia="宋体" w:cs="宋体"/>
          <w:sz w:val="24"/>
          <w:szCs w:val="24"/>
        </w:rPr>
        <w:t xml:space="preserve">的标准保护措施进行包装，使包装适应于远距离运输、防潮、防</w:t>
      </w:r>
      <w:r>
        <w:rPr>
          <w:rFonts w:hint="eastAsia" w:ascii="宋体" w:hAnsi="宋体" w:eastAsia="宋体" w:cs="宋体"/>
          <w:spacing w:val="-1"/>
          <w:sz w:val="24"/>
          <w:szCs w:val="24"/>
        </w:rPr>
        <w:t xml:space="preserve">震、防锈和防粗暴装卸，</w:t>
      </w:r>
      <w:r>
        <w:rPr>
          <w:rFonts w:hint="eastAsia" w:ascii="宋体" w:hAnsi="宋体" w:eastAsia="宋体" w:cs="宋体"/>
          <w:sz w:val="24"/>
          <w:szCs w:val="24"/>
        </w:rPr>
        <w:t xml:space="preserve">确保货物（含软件及相关服务）安全无损</w:t>
      </w:r>
      <w:r>
        <w:rPr>
          <w:rFonts w:hint="eastAsia" w:ascii="宋体" w:hAnsi="宋体" w:eastAsia="宋体" w:cs="宋体"/>
          <w:sz w:val="24"/>
          <w:szCs w:val="24"/>
          <w:lang w:eastAsia="zh-CN"/>
        </w:rPr>
        <w:t xml:space="preserve">运送</w:t>
      </w:r>
      <w:r>
        <w:rPr>
          <w:rFonts w:hint="eastAsia" w:ascii="宋体" w:hAnsi="宋体" w:eastAsia="宋体" w:cs="宋体"/>
          <w:sz w:val="24"/>
          <w:szCs w:val="24"/>
        </w:rPr>
        <w:t xml:space="preserve">抵</w:t>
      </w:r>
      <w:r>
        <w:rPr>
          <w:rFonts w:hint="eastAsia" w:ascii="宋体" w:hAnsi="宋体" w:eastAsia="宋体" w:cs="宋体"/>
          <w:sz w:val="24"/>
          <w:szCs w:val="24"/>
          <w:highlight w:val="none"/>
          <w:lang w:eastAsia="zh-CN"/>
        </w:rPr>
        <w:t xml:space="preserve">至</w:t>
      </w:r>
      <w:r>
        <w:rPr>
          <w:rFonts w:hint="eastAsia" w:ascii="宋体" w:hAnsi="宋体" w:eastAsia="宋体" w:cs="宋体"/>
          <w:sz w:val="24"/>
          <w:szCs w:val="24"/>
        </w:rPr>
        <w:t xml:space="preserve">现场。由于包装</w:t>
      </w:r>
      <w:r>
        <w:rPr>
          <w:rFonts w:hint="eastAsia" w:ascii="宋体" w:hAnsi="宋体" w:eastAsia="宋体" w:cs="宋体"/>
          <w:spacing w:val="-1"/>
          <w:sz w:val="24"/>
          <w:szCs w:val="24"/>
        </w:rPr>
        <w:t xml:space="preserve">不善所引起的货物（含软件及相关服务）锈蚀、损坏和损失均由乙方承担。</w:t>
      </w:r>
      <w:r/>
    </w:p>
    <w:p>
      <w:pPr>
        <w:pStyle w:val="821"/>
        <w:ind w:firstLine="476"/>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4.2每件包装箱内应附一份详细装箱单和质量合格证。</w:t>
      </w:r>
      <w:r/>
    </w:p>
    <w:p>
      <w:pPr>
        <w:pStyle w:val="821"/>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5.装运标志</w:t>
      </w:r>
      <w:r/>
    </w:p>
    <w:p>
      <w:pPr>
        <w:pStyle w:val="821"/>
        <w:ind w:right="218" w:firstLine="480"/>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乙方应在每一包装箱邻接的四侧用不褪色的油漆以醒目的中文字样做出下列标记:</w:t>
      </w:r>
      <w:r/>
    </w:p>
    <w:p>
      <w:pPr>
        <w:pStyle w:val="821"/>
        <w:ind w:left="548"/>
        <w:keepLines w:val="0"/>
        <w:keepNext w:val="0"/>
        <w:pageBreakBefore w:val="0"/>
        <w:spacing w:before="100"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（1）收货人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（2）合同号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（3）装运标志</w:t>
      </w:r>
      <w:r/>
    </w:p>
    <w:p>
      <w:pPr>
        <w:pStyle w:val="821"/>
        <w:ind w:left="548"/>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（4）收货人代号 （5）</w:t>
      </w: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目的地</w:t>
      </w:r>
      <w:r/>
    </w:p>
    <w:p>
      <w:pPr>
        <w:pStyle w:val="821"/>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（6）货物（含软件及相关服务）名称、品目号和箱号</w:t>
      </w:r>
      <w:r/>
    </w:p>
    <w:p>
      <w:pPr>
        <w:pStyle w:val="821"/>
        <w:ind w:left="54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（7）毛重／净重 （8）尺寸（长X宽X高，以厘米计）</w:t>
      </w:r>
      <w:r/>
    </w:p>
    <w:p>
      <w:pPr>
        <w:pStyle w:val="821"/>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如果货物（含软件及相关服务）单件重量</w:t>
      </w:r>
      <w:r>
        <w:rPr>
          <w:rFonts w:hint="eastAsia" w:ascii="宋体" w:hAnsi="宋体" w:eastAsia="宋体" w:cs="宋体"/>
          <w:spacing w:val="-1"/>
          <w:sz w:val="24"/>
          <w:szCs w:val="24"/>
        </w:rPr>
        <w:t xml:space="preserve">在两吨或两吨以上，乙方应在每件包</w:t>
      </w:r>
      <w:r>
        <w:rPr>
          <w:rFonts w:hint="eastAsia" w:ascii="宋体" w:hAnsi="宋体" w:eastAsia="宋体" w:cs="宋体"/>
          <w:spacing w:val="-3"/>
          <w:sz w:val="24"/>
          <w:szCs w:val="24"/>
        </w:rPr>
        <w:t xml:space="preserve">装箱的两侧用中文和适当的运输标志标明“重心</w:t>
      </w:r>
      <w:r>
        <w:rPr>
          <w:rFonts w:hint="eastAsia" w:ascii="宋体" w:hAnsi="宋体" w:eastAsia="宋体" w:cs="宋体"/>
          <w:spacing w:val="-84"/>
          <w:sz w:val="24"/>
          <w:szCs w:val="24"/>
        </w:rPr>
        <w:t xml:space="preserve"> </w:t>
      </w:r>
      <w:r>
        <w:rPr>
          <w:rFonts w:hint="eastAsia" w:ascii="宋体" w:hAnsi="宋体" w:eastAsia="宋体" w:cs="宋体"/>
          <w:spacing w:val="-3"/>
          <w:sz w:val="24"/>
          <w:szCs w:val="24"/>
        </w:rPr>
        <w:t xml:space="preserve">”和“</w:t>
      </w:r>
      <w:r>
        <w:rPr>
          <w:rFonts w:hint="eastAsia" w:ascii="宋体" w:hAnsi="宋体" w:eastAsia="宋体" w:cs="宋体"/>
          <w:spacing w:val="-82"/>
          <w:sz w:val="24"/>
          <w:szCs w:val="24"/>
        </w:rPr>
        <w:t xml:space="preserve"> </w:t>
      </w:r>
      <w:r>
        <w:rPr>
          <w:rFonts w:hint="eastAsia" w:ascii="宋体" w:hAnsi="宋体" w:eastAsia="宋体" w:cs="宋体"/>
          <w:spacing w:val="-3"/>
          <w:sz w:val="24"/>
          <w:szCs w:val="24"/>
        </w:rPr>
        <w:t xml:space="preserve">吊装点</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 xml:space="preserve">”，以便装卸和搬运。根据</w:t>
      </w:r>
      <w:r>
        <w:rPr>
          <w:rFonts w:hint="eastAsia" w:ascii="宋体" w:hAnsi="宋体" w:eastAsia="宋体" w:cs="宋体"/>
          <w:sz w:val="24"/>
          <w:szCs w:val="24"/>
        </w:rPr>
        <w:t xml:space="preserve">货物（含软件及相关服务）的特点和运输的不同要求，乙方应在</w:t>
      </w:r>
      <w:r>
        <w:rPr>
          <w:rFonts w:hint="eastAsia" w:ascii="宋体" w:hAnsi="宋体" w:eastAsia="宋体" w:cs="宋体"/>
          <w:spacing w:val="-1"/>
          <w:sz w:val="24"/>
          <w:szCs w:val="24"/>
        </w:rPr>
        <w:t xml:space="preserve">包装箱上清楚地标有‘小</w:t>
      </w:r>
      <w:r>
        <w:rPr>
          <w:rFonts w:hint="eastAsia" w:ascii="宋体" w:hAnsi="宋体" w:eastAsia="宋体" w:cs="宋体"/>
          <w:spacing w:val="-4"/>
          <w:sz w:val="24"/>
          <w:szCs w:val="24"/>
        </w:rPr>
        <w:t xml:space="preserve">心轻放</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 xml:space="preserve">”、“勿倒置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”、“防潮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”等字样和其他适当的标</w:t>
      </w:r>
      <w:r>
        <w:rPr>
          <w:rFonts w:hint="eastAsia" w:ascii="宋体" w:hAnsi="宋体" w:eastAsia="宋体" w:cs="宋体"/>
          <w:spacing w:val="-5"/>
          <w:sz w:val="24"/>
          <w:szCs w:val="24"/>
        </w:rPr>
        <w:t xml:space="preserve">记。</w:t>
      </w:r>
      <w:r/>
    </w:p>
    <w:p>
      <w:pPr>
        <w:pStyle w:val="821"/>
        <w:ind w:right="218" w:firstLine="468"/>
        <w:jc w:val="both"/>
        <w:keepLines w:val="0"/>
        <w:keepNext w:val="0"/>
        <w:pageBreakBefore w:val="0"/>
        <w:spacing w:before="115"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5.3因缺少装运标志或者装运标志不明确导致货物在运输、装卸过程中产生的损失，乙方应承担相应的过错责任。</w:t>
      </w:r>
      <w:r/>
    </w:p>
    <w:p>
      <w:pPr>
        <w:pStyle w:val="82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6.付款方式</w:t>
      </w:r>
      <w:r/>
    </w:p>
    <w:p>
      <w:pPr>
        <w:pStyle w:val="821"/>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6.1本合同以人民币付款。</w:t>
      </w:r>
      <w:r/>
    </w:p>
    <w:p>
      <w:pPr>
        <w:pStyle w:val="821"/>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6.2乙方应按照与甲方签订的合同规定交货。交货后乙方向甲方提供下列单据，甲方按合同规定审核后付款:</w:t>
      </w:r>
      <w:r/>
    </w:p>
    <w:p>
      <w:pPr>
        <w:pStyle w:val="821"/>
        <w:ind w:firstLine="46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（1）发票；</w:t>
      </w:r>
      <w:r/>
    </w:p>
    <w:p>
      <w:pPr>
        <w:pStyle w:val="821"/>
        <w:ind w:firstLine="4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（2）供应商出具的质量检验证书等；</w:t>
      </w:r>
      <w:r/>
    </w:p>
    <w:p>
      <w:pPr>
        <w:pStyle w:val="821"/>
        <w:ind w:firstLine="46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（3）装箱单；</w:t>
      </w:r>
      <w:r/>
    </w:p>
    <w:p>
      <w:pPr>
        <w:pStyle w:val="821"/>
        <w:ind w:firstLine="468"/>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（4）验收合格证；</w:t>
      </w:r>
      <w:r/>
    </w:p>
    <w:p>
      <w:pPr>
        <w:pStyle w:val="821"/>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（5）使用方加盖公章证明货物交付使用合格的验收表。</w:t>
      </w:r>
      <w:r/>
    </w:p>
    <w:p>
      <w:pPr>
        <w:pStyle w:val="821"/>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6.3甲方将按“合同主要条款及通用条款</w:t>
      </w:r>
      <w:r>
        <w:rPr>
          <w:rFonts w:hint="eastAsia" w:ascii="宋体" w:hAnsi="宋体" w:eastAsia="宋体" w:cs="宋体"/>
          <w:spacing w:val="-88"/>
          <w:position w:val="11"/>
          <w:sz w:val="24"/>
          <w:szCs w:val="24"/>
        </w:rPr>
        <w:t xml:space="preserve"> </w:t>
      </w:r>
      <w:r>
        <w:rPr>
          <w:rFonts w:hint="eastAsia" w:ascii="宋体" w:hAnsi="宋体" w:eastAsia="宋体" w:cs="宋体"/>
          <w:spacing w:val="-2"/>
          <w:position w:val="11"/>
          <w:sz w:val="24"/>
          <w:szCs w:val="24"/>
        </w:rPr>
        <w:t xml:space="preserve">”规定的付款计划安排付款。</w:t>
      </w:r>
      <w:r/>
    </w:p>
    <w:p>
      <w:pPr>
        <w:pStyle w:val="821"/>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7.伴随服务</w:t>
      </w:r>
      <w:r/>
    </w:p>
    <w:p>
      <w:pPr>
        <w:pStyle w:val="821"/>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7.1乙方应按照国家有关规定和合同中所附的服务承诺提供服务。</w:t>
      </w:r>
      <w:r/>
    </w:p>
    <w:p>
      <w:pPr>
        <w:pStyle w:val="821"/>
        <w:ind w:firstLine="484"/>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7.2除第7.1条规定外，乙方还应提供下列服务:</w:t>
      </w:r>
      <w:r/>
    </w:p>
    <w:p>
      <w:pPr>
        <w:pStyle w:val="821"/>
        <w:ind w:firstLine="472"/>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（1）货物的现场安装和启动监督；</w:t>
      </w:r>
      <w:r/>
    </w:p>
    <w:p>
      <w:pPr>
        <w:pStyle w:val="821"/>
        <w:ind w:firstLine="472"/>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（2）提供货物组装和维修所需的工具；</w:t>
      </w:r>
      <w:r/>
    </w:p>
    <w:p>
      <w:pPr>
        <w:pStyle w:val="821"/>
        <w:ind w:firstLine="480"/>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（3）在合同中乙方承诺的期限内对所提供货物实施运行监督、维修，但前提条件是该服务并不能免除乙方在质量保证期内应承担的义务；</w:t>
      </w:r>
      <w:r/>
    </w:p>
    <w:p>
      <w:pPr>
        <w:pStyle w:val="821"/>
        <w:ind w:firstLine="476"/>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（4）在项目交货现场就货物的安装、启动、运行、维护对甲方人员进行培训。</w:t>
      </w:r>
      <w:r/>
    </w:p>
    <w:p>
      <w:pPr>
        <w:pStyle w:val="821"/>
        <w:ind w:firstLine="476"/>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7.3伴随服务的费用应含在合同价中，不单独进行支付。</w:t>
      </w:r>
      <w:r/>
    </w:p>
    <w:p>
      <w:pPr>
        <w:pStyle w:val="821"/>
        <w:ind w:left="178"/>
        <w:keepLines w:val="0"/>
        <w:keepNext w:val="0"/>
        <w:pageBreakBefore w:val="0"/>
        <w:spacing w:before="113"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821"/>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8.质量保证</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乙方应保证货物（含软件及相关服务）是全新的，</w:t>
      </w:r>
      <w:r>
        <w:rPr>
          <w:rFonts w:hint="eastAsia" w:ascii="宋体" w:hAnsi="宋体" w:eastAsia="宋体" w:cs="宋体"/>
          <w:spacing w:val="-1"/>
          <w:sz w:val="24"/>
          <w:szCs w:val="24"/>
        </w:rPr>
        <w:t xml:space="preserve">未使用过的，是用一流的工</w:t>
      </w:r>
      <w:r>
        <w:rPr>
          <w:rFonts w:hint="eastAsia" w:ascii="宋体" w:hAnsi="宋体" w:eastAsia="宋体" w:cs="宋体"/>
          <w:sz w:val="24"/>
          <w:szCs w:val="24"/>
        </w:rPr>
        <w:t xml:space="preserve">艺和最佳材料制造而成的，并完全符合合同规定的质量、规格和</w:t>
      </w:r>
      <w:r>
        <w:rPr>
          <w:rFonts w:hint="eastAsia" w:ascii="宋体" w:hAnsi="宋体" w:eastAsia="宋体" w:cs="宋体"/>
          <w:spacing w:val="-1"/>
          <w:sz w:val="24"/>
          <w:szCs w:val="24"/>
        </w:rPr>
        <w:t xml:space="preserve">性能要求。乙方应保证所</w:t>
      </w:r>
      <w:r>
        <w:rPr>
          <w:rFonts w:hint="eastAsia" w:ascii="宋体" w:hAnsi="宋体" w:eastAsia="宋体" w:cs="宋体"/>
          <w:sz w:val="24"/>
          <w:szCs w:val="24"/>
        </w:rPr>
        <w:t xml:space="preserve">提供的货物（含软件及相关服务）经正确安装、正常运转和保养</w:t>
      </w:r>
      <w:r>
        <w:rPr>
          <w:rFonts w:hint="eastAsia" w:ascii="宋体" w:hAnsi="宋体" w:eastAsia="宋体" w:cs="宋体"/>
          <w:spacing w:val="-1"/>
          <w:sz w:val="24"/>
          <w:szCs w:val="24"/>
        </w:rPr>
        <w:t xml:space="preserve">在其使用寿命期内应具有</w:t>
      </w:r>
      <w:r>
        <w:rPr>
          <w:rFonts w:hint="eastAsia" w:ascii="宋体" w:hAnsi="宋体" w:eastAsia="宋体" w:cs="宋体"/>
          <w:sz w:val="24"/>
          <w:szCs w:val="24"/>
        </w:rPr>
        <w:t xml:space="preserve">满意的性能。在货物（含软件及相关服务）质量保证期内，乙方</w:t>
      </w:r>
      <w:r>
        <w:rPr>
          <w:rFonts w:hint="eastAsia" w:ascii="宋体" w:hAnsi="宋体" w:eastAsia="宋体" w:cs="宋体"/>
          <w:spacing w:val="-1"/>
          <w:sz w:val="24"/>
          <w:szCs w:val="24"/>
        </w:rPr>
        <w:t xml:space="preserve">应对由于设计、工艺或材料的缺陷而造成的任何不足或故障负责。</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乙方在收到通知后三十天内应免费维修或更换有缺陷的货物（含软件及相关服务）或部件。</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如果乙方在收到通知后三十天内没有弥补缺陷，甲方可采取必要的补救措施，但风险和费用将由乙方承担。</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除合同专用条款规定外，合同项下货物（含软件及相关服务）的质量保证期为自货物（含软件及相关服务）通过最终验收起12个月。</w:t>
      </w:r>
      <w:r/>
    </w:p>
    <w:p>
      <w:pPr>
        <w:pStyle w:val="821"/>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9.检验及安装</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在交货前，供应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供应商检验的结果和细节应在证书中加以说明。</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如果货物（含软件及相关服务）的质量和规格与合同不符，或在第11条规定的 质量保证期内证实货物（含软件及相关服务）是有缺陷的，包括潜在的缺陷或使用不符合要求的材料，甲方将有权向乙方提出索赔。</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甲方有权提出在货物（含软件及相关服务）制造过程中派人到制造厂进行监造，乙方有义务为甲方监造人员提供方便。</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供应商对所供货物（含软件及相关服务）进行机械运转试验和性能试验时，必须提前通知甲方。</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货物（含软件及相关服务）的安装按招标文件要求进行。</w:t>
      </w:r>
      <w:r/>
    </w:p>
    <w:p>
      <w:pPr>
        <w:pStyle w:val="821"/>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10.索赔</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除责任应由保险公司或运输部门承担的之外，甲方有权根据甲方按检验标准自己检验的结果或当地商检部门出具的商检证书向乙方提出索赔。</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在第8条和第9条规定的检验期和质量保证期内，如果乙方对甲方提出的索赔 和差异负有责任，乙方应按照甲方同意的下列一种或多种方式解决索赔事宜:</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（1）乙方同意退货，并按合同规定的同种货币将货款退还给甲方，并承担由此发生的 一切损失和费用，包括利息、银行手续费、运费、保险费、检验费、仓储费、装卸费以及 为保护退回货物（含软件及相关服务）所需的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必要费用。</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（2）根据货物（含软件及相关服务）的低劣程度、损坏程度以及甲方遭受损失的数额，经买卖双方商定降低货物（含软件及相关服务）的价格。</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（3）用符合规格、质量和性能要求的新零件、部件或货物（含软件及相关服务）来更 换有缺陷的部分或修补缺陷部分，乙方应承担一切费用和风险并负担甲方所发生的一切直 接费用。同时，乙方应按合同第8条规定，相应延长修补或被更换部件或货物（含软件及  相关服务）的质量保证期。</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如果在甲方发出索赔通知后30天内，乙方未能答复，</w:t>
      </w:r>
      <w:r>
        <w:rPr>
          <w:rFonts w:hint="eastAsia" w:ascii="宋体" w:hAnsi="宋体" w:eastAsia="宋体" w:cs="宋体"/>
          <w:sz w:val="24"/>
          <w:szCs w:val="24"/>
          <w:lang w:eastAsia="zh-CN"/>
        </w:rPr>
        <w:t xml:space="preserve">上述</w:t>
      </w:r>
      <w:r>
        <w:rPr>
          <w:rFonts w:hint="eastAsia" w:ascii="宋体" w:hAnsi="宋体" w:eastAsia="宋体" w:cs="宋体"/>
          <w:sz w:val="24"/>
          <w:szCs w:val="24"/>
        </w:rPr>
        <w:t xml:space="preserve">索赔应视为已被乙  方接受。若乙方未能在甲方提出索赔通知后30天内或甲方同意的更长时间内，按照第10.2 条规定的任何一种方法解决索赔事宜，甲方将从已付款或从乙方开具的履约保证金中扣回索赔</w:t>
      </w:r>
      <w:r>
        <w:rPr>
          <w:rFonts w:hint="eastAsia" w:ascii="宋体" w:hAnsi="宋体" w:eastAsia="宋体" w:cs="宋体"/>
          <w:sz w:val="24"/>
          <w:szCs w:val="24"/>
          <w:lang w:eastAsia="zh-CN"/>
        </w:rPr>
        <w:t xml:space="preserve">金额</w:t>
      </w:r>
      <w:r>
        <w:rPr>
          <w:rFonts w:hint="eastAsia" w:ascii="宋体" w:hAnsi="宋体" w:eastAsia="宋体" w:cs="宋体"/>
          <w:sz w:val="24"/>
          <w:szCs w:val="24"/>
        </w:rPr>
        <w:t xml:space="preserve">。如果这些金额不足以补偿索赔金额，甲方有权向乙方提出不足部分的补偿。</w:t>
      </w:r>
      <w:r/>
    </w:p>
    <w:p>
      <w:pPr>
        <w:pStyle w:val="82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11.拖延交货</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乙方应按照合同专用条款中规定的交货期交货和提供服务。</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如果乙方毫无理由地拖延交货，将受到以下制裁:没收履约保证金，加收违约损失赔偿和／或终止合同。</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在履行合同过程中，如果乙方遇到不能按时交货和提供服务的情况，应及时以 书面形式将不能按时交货的理由、延误时间通知甲方。甲方在收到乙方通知后，应进行分析，可通过修改合同，酌情延长交货时间。</w:t>
      </w:r>
      <w:r/>
    </w:p>
    <w:p>
      <w:pPr>
        <w:pStyle w:val="821"/>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12.误期赔偿</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821"/>
        <w:keepLines w:val="0"/>
        <w:keepNext w:val="0"/>
        <w:pageBreakBefore w:val="0"/>
        <w:spacing w:before="110"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13.不可抗力</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受事故影响的一方应在不可抗力事故发生后尽快以电报、传真或电传通知另一 方，并在事故发生后14天内，将有关部门出具的证明文件用特快专递寄给或送给另一方。如果不可抗力影响时间延续120天以上，双方应通过友好协商在合理的时间内达成进一步履行合同的协议。</w:t>
      </w:r>
      <w:r/>
    </w:p>
    <w:p>
      <w:pPr>
        <w:pStyle w:val="821"/>
        <w:keepLines w:val="0"/>
        <w:keepNext w:val="0"/>
        <w:pageBreakBefore w:val="0"/>
        <w:spacing w:before="11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14.税费</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14.1中国政府根据现行税法规定对甲方征收的与本合同有关的一切税费，均由甲方负担。</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14.2中国政府根据现行税法规定对乙方征收的与本合同有关的一切税费均由乙方负担。</w:t>
      </w:r>
      <w:r/>
    </w:p>
    <w:p>
      <w:pPr>
        <w:pStyle w:val="821"/>
        <w:keepLines w:val="0"/>
        <w:keepNext w:val="0"/>
        <w:pageBreakBefore w:val="0"/>
        <w:spacing w:before="113" w:line="24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rPr>
        <w:t xml:space="preserve">15.履约保证金</w:t>
      </w:r>
      <w:r/>
    </w:p>
    <w:p>
      <w:pPr>
        <w:pStyle w:val="821"/>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1、乙方交纳人民币</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lang w:val="en-US" w:eastAsia="zh-CN"/>
        </w:rPr>
        <w:t xml:space="preserve">元作为本合同的履约保证金（不得超过合同金额的1%)</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2、乙方提供的履约保证金可以是人民币形式(银行本票汇票支票、电汇)或银行保函、担保公司的保证担保或保险公司的保证保险等多种形式。</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5、如乙方未能履行合同规定的义务，甲方有权从履约保证金中取得补偿。</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履约保证金在合同约定期间内不予退还或者应在完全有效约定期间届满之日起5个工作日内，甲方应将履约保证金退还乙方;逾期退还的，按中国人民银行同期货款基利率上浮20%后的利率支付超期资金占用费，但因乙方自身原因导致无法及时退还的除外。</w:t>
      </w:r>
      <w:r/>
    </w:p>
    <w:p>
      <w:pPr>
        <w:pStyle w:val="821"/>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7、履约保证金在合同约定期间内不予退还或者应完全有效履约保证金在项目验收合格后无息退还给乙方。</w:t>
      </w:r>
      <w:r/>
    </w:p>
    <w:p>
      <w:pPr>
        <w:pStyle w:val="821"/>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16.仲裁</w:t>
      </w:r>
      <w:r/>
    </w:p>
    <w:p>
      <w:pPr>
        <w:pStyle w:val="821"/>
        <w:ind w:left="176" w:right="218" w:firstLine="498"/>
        <w:jc w:val="both"/>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16.1 买卖双方应通过友好协商，解决在执行本合同中所发生的或与本合同有关的一</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 xml:space="preserve">切争端，如果协商仍得不到解决，任何一方均可按</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中华人民共和国民法典</w:t>
      </w:r>
      <w:r>
        <w:rPr>
          <w:rFonts w:hint="eastAsia" w:ascii="宋体" w:hAnsi="宋体" w:eastAsia="宋体" w:cs="宋体"/>
          <w:spacing w:val="-2"/>
          <w:sz w:val="24"/>
          <w:szCs w:val="24"/>
          <w:lang w:eastAsia="zh-CN"/>
        </w:rPr>
        <w:t xml:space="preserve">》</w:t>
      </w:r>
      <w:r>
        <w:rPr>
          <w:rFonts w:hint="eastAsia" w:ascii="宋体" w:hAnsi="宋体" w:eastAsia="宋体" w:cs="宋体"/>
          <w:spacing w:val="-84"/>
          <w:sz w:val="24"/>
          <w:szCs w:val="24"/>
        </w:rPr>
        <w:t xml:space="preserve"> </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 xml:space="preserve">规定提交调解和仲裁。</w:t>
      </w:r>
      <w:r/>
    </w:p>
    <w:p>
      <w:pPr>
        <w:pStyle w:val="821"/>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16.2 仲裁裁决应为终局裁决，对双方均具有约</w:t>
      </w:r>
      <w:r>
        <w:rPr>
          <w:rFonts w:hint="eastAsia" w:ascii="宋体" w:hAnsi="宋体" w:eastAsia="宋体" w:cs="宋体"/>
          <w:spacing w:val="-2"/>
          <w:sz w:val="24"/>
          <w:szCs w:val="24"/>
        </w:rPr>
        <w:t xml:space="preserve">束力。</w:t>
      </w:r>
      <w:r/>
    </w:p>
    <w:p>
      <w:pPr>
        <w:pStyle w:val="821"/>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16.3 仲裁费除仲裁机构另有裁决外应由败诉方</w:t>
      </w:r>
      <w:r>
        <w:rPr>
          <w:rFonts w:hint="eastAsia" w:ascii="宋体" w:hAnsi="宋体" w:eastAsia="宋体" w:cs="宋体"/>
          <w:spacing w:val="-2"/>
          <w:sz w:val="24"/>
          <w:szCs w:val="24"/>
        </w:rPr>
        <w:t xml:space="preserve">负担。</w:t>
      </w:r>
      <w:r/>
    </w:p>
    <w:p>
      <w:pPr>
        <w:pStyle w:val="821"/>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16.4 在仲裁期间，除正在进行仲裁的部分外，合同</w:t>
      </w:r>
      <w:r>
        <w:rPr>
          <w:rFonts w:hint="eastAsia" w:ascii="宋体" w:hAnsi="宋体" w:eastAsia="宋体" w:cs="宋体"/>
          <w:spacing w:val="-1"/>
          <w:sz w:val="24"/>
          <w:szCs w:val="24"/>
          <w:lang w:eastAsia="zh-CN"/>
        </w:rPr>
        <w:t xml:space="preserve">其他部分</w:t>
      </w:r>
      <w:r>
        <w:rPr>
          <w:rFonts w:hint="eastAsia" w:ascii="宋体" w:hAnsi="宋体" w:eastAsia="宋体" w:cs="宋体"/>
          <w:spacing w:val="-1"/>
          <w:sz w:val="24"/>
          <w:szCs w:val="24"/>
        </w:rPr>
        <w:t xml:space="preserve">继续执行。</w:t>
      </w:r>
      <w:r/>
    </w:p>
    <w:p>
      <w:pPr>
        <w:pStyle w:val="821"/>
        <w:ind w:left="19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17.违约终止合同</w:t>
      </w:r>
      <w:r/>
    </w:p>
    <w:p>
      <w:pPr>
        <w:pStyle w:val="821"/>
        <w:ind w:left="182" w:right="218" w:firstLine="5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17.1 乙方有下列违约情况之一，并在收到甲方违约通知后的合理时间内，或经甲方</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书面认可延长的时间内未能纠正其过失，甲方可向乙</w:t>
      </w:r>
      <w:r>
        <w:rPr>
          <w:rFonts w:hint="eastAsia" w:ascii="宋体" w:hAnsi="宋体" w:eastAsia="宋体" w:cs="宋体"/>
          <w:spacing w:val="-1"/>
          <w:sz w:val="24"/>
          <w:szCs w:val="24"/>
        </w:rPr>
        <w:t xml:space="preserve">方发出书面通知，终止部分或全部合</w:t>
      </w:r>
      <w:r/>
    </w:p>
    <w:p>
      <w:pPr>
        <w:pStyle w:val="821"/>
        <w:ind w:left="20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同。在这种情况下，并不影响甲方向乙方提出索赔。</w:t>
      </w:r>
      <w:r/>
    </w:p>
    <w:p>
      <w:pPr>
        <w:pStyle w:val="821"/>
        <w:ind w:left="188" w:right="259" w:firstLine="559"/>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（1）如果乙方未能在合同规定的期限或甲方同意延期的限期内提供全部或部分货物</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（含软件及相关服务</w:t>
      </w:r>
      <w:r>
        <w:rPr>
          <w:rFonts w:hint="eastAsia" w:ascii="宋体" w:hAnsi="宋体" w:eastAsia="宋体" w:cs="宋体"/>
          <w:spacing w:val="2"/>
          <w:sz w:val="24"/>
          <w:szCs w:val="24"/>
        </w:rPr>
        <w:t xml:space="preserve">）；</w:t>
      </w:r>
      <w:r/>
    </w:p>
    <w:p>
      <w:pPr>
        <w:pStyle w:val="821"/>
        <w:ind w:left="7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（2）如果乙方未能履行合同规定的其它义务。</w:t>
      </w:r>
      <w:r/>
    </w:p>
    <w:p>
      <w:pPr>
        <w:pStyle w:val="821"/>
        <w:ind w:left="195" w:firstLine="476"/>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1"/>
          <w:sz w:val="24"/>
          <w:szCs w:val="24"/>
        </w:rPr>
        <w:t xml:space="preserve">17.2 在甲方根据第17.1条规定，终止了全部或部分合同，甲方可以依其认为适当的 条件和方式购买与未交货物（含软件及相关服务）类似的货物（含软件及相关服务），乙方应对购买类似货物（含软件及相关服务）所超出的费用负责。而且乙方还应继续执行</w:t>
      </w:r>
      <w:r>
        <w:rPr>
          <w:rFonts w:hint="eastAsia" w:ascii="宋体" w:hAnsi="宋体" w:eastAsia="宋体" w:cs="宋体"/>
          <w:spacing w:val="-4"/>
          <w:sz w:val="24"/>
          <w:szCs w:val="24"/>
        </w:rPr>
        <w:t xml:space="preserve">合同中未终止的部分。</w:t>
      </w:r>
      <w:r/>
    </w:p>
    <w:p>
      <w:pPr>
        <w:pStyle w:val="821"/>
        <w:ind w:left="195"/>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18.破产中止合同</w:t>
      </w:r>
      <w:r/>
    </w:p>
    <w:p>
      <w:pPr>
        <w:pStyle w:val="821"/>
        <w:ind w:left="195" w:firstLine="464"/>
        <w:keepLines w:val="0"/>
        <w:keepNext w:val="0"/>
        <w:pageBreakBefore w:val="0"/>
        <w:spacing w:before="115" w:line="240" w:lineRule="auto"/>
        <w:widowControl w:val="off"/>
        <w:rPr>
          <w:rFonts w:hint="eastAsia" w:ascii="宋体" w:hAnsi="宋体" w:eastAsia="宋体" w:cs="宋体"/>
          <w:spacing w:val="-2"/>
          <w:sz w:val="24"/>
          <w:szCs w:val="24"/>
        </w:rPr>
      </w:pPr>
      <w:r>
        <w:rPr>
          <w:rFonts w:hint="eastAsia" w:ascii="宋体" w:hAnsi="宋体" w:eastAsia="宋体" w:cs="宋体"/>
          <w:spacing w:val="-4"/>
          <w:sz w:val="24"/>
          <w:szCs w:val="24"/>
        </w:rPr>
        <w:t xml:space="preserve">18.1如果乙方</w:t>
      </w:r>
      <w:r>
        <w:rPr>
          <w:rFonts w:hint="eastAsia" w:ascii="宋体" w:hAnsi="宋体" w:eastAsia="宋体" w:cs="宋体"/>
          <w:spacing w:val="-1"/>
          <w:sz w:val="24"/>
          <w:szCs w:val="24"/>
        </w:rPr>
        <w:t xml:space="preserve">破产或无清偿能力，甲方可在任何时候以书面形式通知乙方中止合同而</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不给乙方补偿。该中止合同将不损害或影响甲方和使用</w:t>
      </w:r>
      <w:r>
        <w:rPr>
          <w:rFonts w:hint="eastAsia" w:ascii="宋体" w:hAnsi="宋体" w:eastAsia="宋体" w:cs="宋体"/>
          <w:spacing w:val="-1"/>
          <w:sz w:val="24"/>
          <w:szCs w:val="24"/>
        </w:rPr>
        <w:t xml:space="preserve">方已经采取或将要采取的任何行动</w:t>
      </w:r>
      <w:r>
        <w:rPr>
          <w:rFonts w:hint="eastAsia" w:ascii="宋体" w:hAnsi="宋体" w:eastAsia="宋体" w:cs="宋体"/>
          <w:spacing w:val="-2"/>
          <w:sz w:val="24"/>
          <w:szCs w:val="24"/>
        </w:rPr>
        <w:t xml:space="preserve">或补救措施的权力。</w:t>
      </w:r>
      <w:r/>
    </w:p>
    <w:p>
      <w:pPr>
        <w:pStyle w:val="821"/>
        <w:numPr>
          <w:ilvl w:val="0"/>
          <w:numId w:val="0"/>
        </w:numPr>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19.项目验收</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甲方依法组织履约验收工作。</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19.3 对于实际使用人和甲方分离的项目，甲方邀请实际使用人参与验收。</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19.4 如有必要，甲方邀请参加本项目的其他供应商或第三方专业机构及专家参与验收，相关意见将作为验收书的参考资料。</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21"/>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20</w:t>
      </w:r>
      <w:r>
        <w:rPr>
          <w:rFonts w:hint="eastAsia" w:ascii="宋体" w:hAnsi="宋体" w:eastAsia="宋体" w:cs="宋体"/>
          <w:spacing w:val="-6"/>
          <w:sz w:val="24"/>
          <w:szCs w:val="24"/>
        </w:rPr>
        <w:t xml:space="preserve">.转让</w:t>
      </w:r>
      <w:r/>
    </w:p>
    <w:p>
      <w:pPr>
        <w:pStyle w:val="821"/>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lang w:val="en-US" w:eastAsia="zh-CN"/>
        </w:rPr>
        <w:t xml:space="preserve">20</w:t>
      </w:r>
      <w:r>
        <w:rPr>
          <w:rFonts w:hint="eastAsia" w:ascii="宋体" w:hAnsi="宋体" w:eastAsia="宋体" w:cs="宋体"/>
          <w:spacing w:val="-1"/>
          <w:position w:val="11"/>
          <w:sz w:val="24"/>
          <w:szCs w:val="24"/>
        </w:rPr>
        <w:t xml:space="preserve">.1 除甲方事先书面同意外，乙方不得部分转让或全部转让其应履行的合同义务。</w:t>
      </w:r>
      <w:r/>
    </w:p>
    <w:p>
      <w:pPr>
        <w:pStyle w:val="821"/>
        <w:ind w:left="180"/>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21</w:t>
      </w:r>
      <w:r>
        <w:rPr>
          <w:rFonts w:hint="eastAsia" w:ascii="宋体" w:hAnsi="宋体" w:eastAsia="宋体" w:cs="宋体"/>
          <w:spacing w:val="-2"/>
          <w:sz w:val="24"/>
          <w:szCs w:val="24"/>
        </w:rPr>
        <w:t xml:space="preserve">.合同生效及其它</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21.1金湖县住房和城乡建设局 </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招标文件、投标方提交</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投标文件、</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本次招标的中标通知书和招标过程中卖方的投标澄清等内容将作为本次采购合同文件的主 要内容。卖方在合同履行过程中若发生服务内容缩减、服务不及时的现象，买方有权对卖 方处以适当的经济处罚。</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21.2本合同在甲乙双方盖章后生效。</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21.3本合同一式五份，以中文书就，甲方、乙方各执二份，备案一份。</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21.4合同货物交付使用后所发生的合同纠纷，甲方与乙方进行处理。</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21.5如需修改或补充合同内容，应经乙方、甲方协商，签署书面修改或补充协议。该</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协议将作为本合同不可分割的一部分。</w:t>
      </w:r>
      <w:r/>
    </w:p>
    <w:p>
      <w:pPr>
        <w:pStyle w:val="821"/>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21.6本合同应按照中华人民共和国的现行法律进行解释。</w:t>
      </w:r>
      <w:r/>
    </w:p>
    <w:p>
      <w:pPr>
        <w:keepLines w:val="0"/>
        <w:keepNext w:val="0"/>
        <w:pageBreakBefore w:val="0"/>
        <w:spacing w:line="240" w:lineRule="auto"/>
        <w:widowControl w:val="off"/>
        <w:rPr>
          <w:rFonts w:hint="eastAsia" w:ascii="宋体" w:hAnsi="宋体" w:eastAsia="宋体" w:cs="宋体"/>
          <w:sz w:val="24"/>
          <w:szCs w:val="24"/>
        </w:rPr>
        <w:sectPr>
          <w:footerReference w:type="default" r:id="rId10"/>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rPr>
      </w:r>
      <w:r/>
    </w:p>
    <w:p>
      <w:pPr>
        <w:pStyle w:val="821"/>
        <w:jc w:val="center"/>
        <w:keepLines w:val="0"/>
        <w:keepNext w:val="0"/>
        <w:pageBreakBefore w:val="0"/>
        <w:spacing w:before="46" w:line="240" w:lineRule="auto"/>
        <w:widowControl w:val="off"/>
        <w:rPr>
          <w:rFonts w:hint="eastAsia" w:ascii="宋体" w:hAnsi="宋体" w:eastAsia="宋体" w:cs="宋体"/>
          <w:b/>
          <w:bCs/>
          <w:spacing w:val="22"/>
          <w:sz w:val="28"/>
          <w:szCs w:val="28"/>
          <w:lang w:eastAsia="zh-CN"/>
        </w:rPr>
        <w:outlineLvl w:val="1"/>
      </w:pPr>
      <w:r/>
      <w:bookmarkStart w:id="11" w:name="bookmark5"/>
      <w:r/>
      <w:bookmarkEnd w:id="11"/>
      <w:r>
        <w:rPr>
          <w:rFonts w:hint="eastAsia" w:ascii="宋体" w:hAnsi="宋体" w:eastAsia="宋体" w:cs="宋体"/>
          <w:b/>
          <w:bCs/>
          <w:spacing w:val="22"/>
          <w:sz w:val="28"/>
          <w:szCs w:val="28"/>
          <w:lang w:eastAsia="zh-CN"/>
        </w:rPr>
        <w:t xml:space="preserve">合同协议书</w:t>
      </w:r>
      <w:r/>
    </w:p>
    <w:p>
      <w:pPr>
        <w:ind w:left="0"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项目招标采购的结果，签署本合同。</w:t>
      </w:r>
      <w:r/>
    </w:p>
    <w:p>
      <w:pPr>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br/>
      </w:r>
      <w:r>
        <w:rPr>
          <w:rFonts w:hint="eastAsia" w:ascii="宋体" w:hAnsi="宋体" w:eastAsia="宋体" w:cs="宋体"/>
          <w:sz w:val="24"/>
          <w:szCs w:val="24"/>
        </w:rPr>
        <w:t xml:space="preserve">1.项目名称：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2.项目内容：本项目</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文件规定的全部工作内容</w:t>
      </w:r>
      <w:r>
        <w:rPr>
          <w:rFonts w:hint="eastAsia" w:ascii="宋体" w:hAnsi="宋体" w:eastAsia="宋体" w:cs="宋体"/>
          <w:sz w:val="24"/>
          <w:szCs w:val="24"/>
          <w:lang w:eastAsia="zh-CN"/>
        </w:rPr>
        <w:t xml:space="preserve">，详见招标文件采购需求及乙方投标文件报价明细表。</w:t>
      </w:r>
      <w:r>
        <w:rPr>
          <w:rFonts w:hint="eastAsia" w:ascii="宋体" w:hAnsi="宋体" w:eastAsia="宋体" w:cs="宋体"/>
          <w:sz w:val="24"/>
          <w:szCs w:val="24"/>
        </w:rPr>
        <w:br/>
      </w:r>
      <w:r>
        <w:rPr>
          <w:rFonts w:hint="eastAsia" w:ascii="宋体" w:hAnsi="宋体" w:eastAsia="宋体" w:cs="宋体"/>
          <w:sz w:val="24"/>
          <w:szCs w:val="24"/>
        </w:rPr>
        <w:t xml:space="preserve">二、合同金额</w:t>
      </w:r>
      <w:r>
        <w:rPr>
          <w:rFonts w:hint="eastAsia" w:ascii="宋体" w:hAnsi="宋体" w:eastAsia="宋体" w:cs="宋体"/>
          <w:sz w:val="24"/>
          <w:szCs w:val="24"/>
        </w:rPr>
        <w:br/>
      </w:r>
      <w:r>
        <w:rPr>
          <w:rFonts w:hint="eastAsia" w:ascii="宋体" w:hAnsi="宋体" w:eastAsia="宋体" w:cs="宋体"/>
          <w:sz w:val="24"/>
          <w:szCs w:val="24"/>
        </w:rPr>
        <w:t xml:space="preserve">1、本合同金额为人民币</w:t>
      </w:r>
      <w:r>
        <w:rPr>
          <w:rFonts w:hint="eastAsia" w:ascii="宋体" w:hAnsi="宋体" w:eastAsia="宋体" w:cs="宋体"/>
          <w:sz w:val="24"/>
          <w:szCs w:val="24"/>
          <w:u w:val="single"/>
        </w:rPr>
        <w:t xml:space="preserve">（大写）：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 xml:space="preserve">元）。</w:t>
      </w:r>
      <w:r>
        <w:rPr>
          <w:rFonts w:hint="eastAsia" w:ascii="宋体" w:hAnsi="宋体" w:eastAsia="宋体" w:cs="宋体"/>
          <w:sz w:val="24"/>
          <w:szCs w:val="24"/>
          <w:u w:val="single"/>
        </w:rPr>
        <w:br/>
      </w:r>
      <w:r>
        <w:rPr>
          <w:rFonts w:hint="eastAsia" w:ascii="宋体" w:hAnsi="宋体" w:eastAsia="宋体" w:cs="宋体"/>
          <w:sz w:val="24"/>
          <w:szCs w:val="24"/>
        </w:rPr>
        <w:t xml:space="preserve">三、技术性能和技术资料</w:t>
      </w:r>
      <w:r>
        <w:rPr>
          <w:rFonts w:hint="eastAsia" w:ascii="宋体" w:hAnsi="宋体" w:eastAsia="宋体" w:cs="宋体"/>
          <w:sz w:val="24"/>
          <w:szCs w:val="24"/>
        </w:rPr>
        <w:br/>
      </w:r>
      <w:r>
        <w:rPr>
          <w:rFonts w:hint="eastAsia" w:ascii="宋体" w:hAnsi="宋体" w:eastAsia="宋体" w:cs="宋体"/>
          <w:sz w:val="24"/>
          <w:szCs w:val="24"/>
        </w:rPr>
        <w:t xml:space="preserve">1. 乙方所提供货物、设备和服务的技术规格、内容应与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规定的技术规范和需要相一致；符合国家有关部门最新颁布的标准及规范。</w:t>
      </w:r>
      <w:r>
        <w:rPr>
          <w:rFonts w:hint="eastAsia" w:ascii="宋体" w:hAnsi="宋体" w:eastAsia="宋体" w:cs="宋体"/>
          <w:sz w:val="24"/>
          <w:szCs w:val="24"/>
        </w:rPr>
        <w:br/>
      </w:r>
      <w:r>
        <w:rPr>
          <w:rFonts w:hint="eastAsia" w:ascii="宋体" w:hAnsi="宋体" w:eastAsia="宋体" w:cs="宋体"/>
          <w:sz w:val="24"/>
          <w:szCs w:val="24"/>
        </w:rPr>
        <w:t xml:space="preserve">2. 没有</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事先书面同意，乙方不得将由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br/>
      </w:r>
      <w:r>
        <w:rPr>
          <w:rFonts w:hint="eastAsia" w:ascii="宋体" w:hAnsi="宋体" w:eastAsia="宋体" w:cs="宋体"/>
          <w:sz w:val="24"/>
          <w:szCs w:val="24"/>
        </w:rPr>
        <w:t xml:space="preserve">四、知识产权</w:t>
      </w:r>
      <w:r>
        <w:rPr>
          <w:rFonts w:hint="eastAsia" w:ascii="宋体" w:hAnsi="宋体" w:eastAsia="宋体" w:cs="宋体"/>
          <w:sz w:val="24"/>
          <w:szCs w:val="24"/>
        </w:rPr>
        <w:br/>
      </w:r>
      <w:r>
        <w:rPr>
          <w:rFonts w:hint="eastAsia" w:ascii="宋体" w:hAnsi="宋体" w:eastAsia="宋体" w:cs="宋体"/>
          <w:sz w:val="24"/>
          <w:szCs w:val="24"/>
        </w:rPr>
        <w:t xml:space="preserve">乙方应保证所提供的货物、设备及服务或其任何一部分均不会侵犯任何第三方的知识产权，乙方对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提供的业务资料、技术资料应严格保密，不得扩散。乙方应保证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在使用、接受本合同货物设备和服务或其任何一部分时不受乙方及第三方提出侵犯其专利权、版权、商标权和工业设计权等知识产权的起诉。一旦出现侵权，由乙方负全部责任。</w:t>
      </w:r>
      <w:r/>
    </w:p>
    <w:p>
      <w:pPr>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承诺书及实施方案</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乙方在投标过程中所提交的所有承诺书及实施方案，在实际实施过程中必须严格按照并执行。未按照投标过程中所提交的所有承诺书及实施方案执行的，甲方保留索赔的权利且有权解除合同。</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乙方必须严格按照招标文件、投标文件的内容及甲方的要求完成项目内容等，如出现无法履约或提供产品不合格的情况，甲方有权要求整改，若整改后还无法达到要求并影响项目验收的，甲方有权终止合同，并要求乙方支付合同总值5%的违约金。</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如项目实施中涉及到建筑垃圾处置工作，根据《中华人民共和国固体废物污染环境防治法》、《城市建筑垃圾管理规定》等法律法规要求，乙方应当编制建筑垃圾处理方案，并在开工前报金湖县城市管理服务中心备案，且不得将建筑垃圾交给个人或者未经核准从事建筑垃圾运输的单位运输，不得擅自倾倒、抛撒或者堆放工程施工过程中产生的建筑垃圾。</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六、</w:t>
      </w:r>
      <w:r>
        <w:rPr>
          <w:rFonts w:hint="eastAsia" w:ascii="宋体" w:hAnsi="宋体" w:eastAsia="宋体" w:cs="宋体"/>
          <w:sz w:val="24"/>
          <w:szCs w:val="24"/>
          <w:highlight w:val="none"/>
        </w:rPr>
        <w:t xml:space="preserve">转包或分包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1.本合同范</w:t>
      </w:r>
      <w:r>
        <w:rPr>
          <w:rFonts w:hint="eastAsia" w:ascii="宋体" w:hAnsi="宋体" w:eastAsia="宋体" w:cs="宋体"/>
          <w:sz w:val="24"/>
          <w:szCs w:val="24"/>
          <w:highlight w:val="none"/>
          <w:lang w:eastAsia="zh-CN"/>
        </w:rPr>
        <w:t xml:space="preserve">围内</w:t>
      </w:r>
      <w:r>
        <w:rPr>
          <w:rFonts w:hint="eastAsia" w:ascii="宋体" w:hAnsi="宋体" w:eastAsia="宋体" w:cs="宋体"/>
          <w:sz w:val="24"/>
          <w:szCs w:val="24"/>
          <w:highlight w:val="none"/>
        </w:rPr>
        <w:t xml:space="preserve">的货物、设备应由乙方直接供应，不得转让他人供应；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2.除非得到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的书面同意，乙方不得将本合同范围的货物、设备全部或部分分包给他人供应；</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3.乙方在涉及到项目施工部分，如无相应的施工资质，须分包给相应资质的施工单位并经甲方同意后实施</w:t>
      </w:r>
      <w:r>
        <w:rPr>
          <w:rFonts w:hint="eastAsia" w:ascii="宋体" w:hAnsi="宋体" w:eastAsia="宋体" w:cs="宋体"/>
          <w:sz w:val="24"/>
          <w:szCs w:val="24"/>
          <w:highlight w:val="none"/>
        </w:rPr>
        <w:t xml:space="preserve">；</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.如有转让和未经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同意的分包行为，</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有权解除合同</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追究乙方的违约责任</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按合同价款的5%</w:t>
      </w:r>
      <w:r>
        <w:rPr>
          <w:rFonts w:hint="eastAsia" w:ascii="宋体" w:hAnsi="宋体" w:eastAsia="宋体" w:cs="宋体"/>
          <w:sz w:val="24"/>
          <w:szCs w:val="24"/>
          <w:highlight w:val="none"/>
          <w:lang w:eastAsia="zh-CN"/>
        </w:rPr>
        <w:t xml:space="preserve">支付违约金</w:t>
      </w:r>
      <w:r>
        <w:rPr>
          <w:rFonts w:hint="eastAsia" w:ascii="宋体" w:hAnsi="宋体" w:eastAsia="宋体" w:cs="宋体"/>
          <w:sz w:val="24"/>
          <w:szCs w:val="24"/>
          <w:highlight w:val="none"/>
        </w:rPr>
        <w:t xml:space="preserve">。</w:t>
      </w:r>
      <w:r>
        <w:rPr>
          <w:rFonts w:hint="eastAsia" w:ascii="宋体" w:hAnsi="宋体" w:eastAsia="宋体" w:cs="宋体"/>
          <w:sz w:val="24"/>
          <w:szCs w:val="24"/>
        </w:rPr>
        <w:br/>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、项目完成时间、交货方式及交货地点</w:t>
      </w:r>
      <w:r>
        <w:rPr>
          <w:rFonts w:hint="eastAsia" w:ascii="宋体" w:hAnsi="宋体" w:eastAsia="宋体" w:cs="宋体"/>
          <w:sz w:val="24"/>
          <w:szCs w:val="24"/>
        </w:rPr>
        <w:br/>
      </w:r>
      <w:r>
        <w:rPr>
          <w:rFonts w:hint="eastAsia" w:ascii="宋体" w:hAnsi="宋体" w:eastAsia="宋体" w:cs="宋体"/>
          <w:sz w:val="24"/>
          <w:szCs w:val="24"/>
        </w:rPr>
        <w:t xml:space="preserve">1. 项目完成时间：（投标人承诺时间）</w:t>
      </w:r>
      <w:r>
        <w:rPr>
          <w:rFonts w:hint="eastAsia" w:ascii="宋体" w:hAnsi="宋体" w:eastAsia="宋体" w:cs="宋体"/>
          <w:sz w:val="24"/>
          <w:szCs w:val="24"/>
        </w:rPr>
        <w:br/>
      </w:r>
      <w:r>
        <w:rPr>
          <w:rFonts w:hint="eastAsia" w:ascii="宋体" w:hAnsi="宋体" w:eastAsia="宋体" w:cs="宋体"/>
          <w:sz w:val="24"/>
          <w:szCs w:val="24"/>
        </w:rPr>
        <w:t xml:space="preserve">2. 交货方式：</w:t>
      </w:r>
      <w:r>
        <w:rPr>
          <w:rFonts w:hint="eastAsia" w:ascii="宋体" w:hAnsi="宋体" w:eastAsia="宋体" w:cs="宋体"/>
          <w:sz w:val="24"/>
          <w:szCs w:val="24"/>
        </w:rPr>
        <w:br/>
      </w:r>
      <w:r>
        <w:rPr>
          <w:rFonts w:hint="eastAsia" w:ascii="宋体" w:hAnsi="宋体" w:eastAsia="宋体" w:cs="宋体"/>
          <w:sz w:val="24"/>
          <w:szCs w:val="24"/>
        </w:rPr>
        <w:t xml:space="preserve">（1）乙方交货前应对产品作出全面检查和对验收文件进行整理，并列出清单，作为</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收货验收和使用的技术条件依据，检验的结果应随货物交</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（2）货物、材料运抵现场后，甲方对乙方提交的货物依据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w:t>
      </w:r>
      <w:r>
        <w:rPr>
          <w:rFonts w:hint="eastAsia" w:ascii="宋体" w:hAnsi="宋体" w:eastAsia="宋体" w:cs="宋体"/>
          <w:sz w:val="24"/>
          <w:szCs w:val="24"/>
        </w:rPr>
        <w:br/>
      </w:r>
      <w:r>
        <w:rPr>
          <w:rFonts w:hint="eastAsia" w:ascii="宋体" w:hAnsi="宋体" w:eastAsia="宋体" w:cs="宋体"/>
          <w:sz w:val="24"/>
          <w:szCs w:val="24"/>
        </w:rPr>
        <w:t xml:space="preserve">（3）对设备、材料的品牌、型号、数量、产地等进行检查和清点，同类型的所有设备和材料应</w:t>
      </w:r>
      <w:r>
        <w:rPr>
          <w:rFonts w:hint="eastAsia" w:ascii="宋体" w:hAnsi="宋体" w:eastAsia="宋体" w:cs="宋体"/>
          <w:sz w:val="24"/>
          <w:szCs w:val="24"/>
          <w:lang w:eastAsia="zh-CN"/>
        </w:rPr>
        <w:t xml:space="preserve">属于</w:t>
      </w:r>
      <w:r>
        <w:rPr>
          <w:rFonts w:hint="eastAsia" w:ascii="宋体" w:hAnsi="宋体" w:eastAsia="宋体" w:cs="宋体"/>
          <w:sz w:val="24"/>
          <w:szCs w:val="24"/>
        </w:rPr>
        <w:t xml:space="preserve">同一制造商的同一地产品。如检验中发现短缺、损坏或假冒伪劣商品，乙方应立即采取补救措施，不得因此影响施工，否则一切损失由乙方负责。</w:t>
      </w:r>
      <w:r>
        <w:rPr>
          <w:rFonts w:hint="eastAsia" w:ascii="宋体" w:hAnsi="宋体" w:eastAsia="宋体" w:cs="宋体"/>
          <w:sz w:val="24"/>
          <w:szCs w:val="24"/>
        </w:rPr>
        <w:br/>
      </w:r>
      <w:r>
        <w:rPr>
          <w:rFonts w:hint="eastAsia" w:ascii="宋体" w:hAnsi="宋体" w:eastAsia="宋体" w:cs="宋体"/>
          <w:sz w:val="24"/>
          <w:szCs w:val="24"/>
        </w:rPr>
        <w:t xml:space="preserve">（4）所有税费均由乙方承担。</w:t>
      </w:r>
      <w:r>
        <w:rPr>
          <w:rFonts w:hint="eastAsia" w:ascii="宋体" w:hAnsi="宋体" w:eastAsia="宋体" w:cs="宋体"/>
          <w:sz w:val="24"/>
          <w:szCs w:val="24"/>
        </w:rPr>
        <w:br/>
      </w:r>
      <w:r>
        <w:rPr>
          <w:rFonts w:hint="eastAsia" w:ascii="宋体" w:hAnsi="宋体" w:eastAsia="宋体" w:cs="宋体"/>
          <w:sz w:val="24"/>
          <w:szCs w:val="24"/>
        </w:rPr>
        <w:t xml:space="preserve">3．交货地点：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交货期或交付使用期：</w:t>
      </w:r>
      <w:r>
        <w:rPr>
          <w:rFonts w:hint="eastAsia" w:ascii="宋体" w:hAnsi="宋体" w:eastAsia="宋体" w:cs="宋体"/>
          <w:color w:val="auto"/>
          <w:sz w:val="24"/>
          <w:szCs w:val="24"/>
          <w:highlight w:val="none"/>
        </w:rPr>
        <w:t xml:space="preserve">暂定</w:t>
      </w:r>
      <w:r>
        <w:rPr>
          <w:rFonts w:hint="eastAsia" w:ascii="宋体" w:hAnsi="宋体" w:eastAsia="宋体" w:cs="宋体"/>
          <w:color w:val="auto"/>
          <w:sz w:val="24"/>
          <w:szCs w:val="24"/>
          <w:highlight w:val="none"/>
          <w:lang w:eastAsia="zh-CN"/>
        </w:rPr>
        <w:t xml:space="preserve">90</w:t>
      </w:r>
      <w:r>
        <w:rPr>
          <w:rFonts w:hint="eastAsia" w:ascii="宋体" w:hAnsi="宋体" w:eastAsia="宋体" w:cs="宋体"/>
          <w:color w:val="auto"/>
          <w:sz w:val="24"/>
          <w:szCs w:val="24"/>
          <w:highlight w:val="none"/>
        </w:rPr>
        <w:t xml:space="preserve">日历天（具体以招标人通知时间为准）</w:t>
      </w:r>
      <w:r>
        <w:rPr>
          <w:rFonts w:hint="eastAsia" w:ascii="宋体" w:hAnsi="宋体" w:eastAsia="宋体" w:cs="宋体"/>
          <w:sz w:val="24"/>
          <w:szCs w:val="24"/>
          <w:highlight w:val="yellow"/>
        </w:rPr>
        <w:br/>
      </w:r>
      <w:r>
        <w:rPr>
          <w:rFonts w:hint="eastAsia" w:ascii="宋体" w:hAnsi="宋体" w:eastAsia="宋体" w:cs="宋体"/>
          <w:sz w:val="24"/>
          <w:szCs w:val="24"/>
          <w:lang w:eastAsia="zh-CN"/>
        </w:rPr>
        <w:t xml:space="preserve">八</w:t>
      </w:r>
      <w:r>
        <w:rPr>
          <w:rFonts w:hint="eastAsia" w:ascii="宋体" w:hAnsi="宋体" w:eastAsia="宋体" w:cs="宋体"/>
          <w:sz w:val="24"/>
          <w:szCs w:val="24"/>
        </w:rPr>
        <w:t xml:space="preserve">、合同价款与支付</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none"/>
          <w:lang w:eastAsia="zh-CN"/>
        </w:rPr>
        <w:t xml:space="preserve">合同签订后预付合同总额的40%，所有设备供货安装调试结束，验收合格后付至合同价款的</w:t>
      </w:r>
      <w:r>
        <w:rPr>
          <w:rFonts w:hint="eastAsia" w:ascii="宋体" w:hAnsi="宋体" w:eastAsia="宋体" w:cs="宋体"/>
          <w:sz w:val="24"/>
          <w:szCs w:val="24"/>
          <w:highlight w:val="none"/>
          <w:lang w:val="en-US" w:eastAsia="zh-CN"/>
        </w:rPr>
        <w:t xml:space="preserve">80%，试运营满6个月后无问题按</w:t>
      </w:r>
      <w:r>
        <w:rPr>
          <w:rFonts w:hint="eastAsia" w:ascii="宋体" w:hAnsi="宋体" w:eastAsia="宋体" w:cs="宋体"/>
          <w:sz w:val="24"/>
          <w:szCs w:val="24"/>
          <w:highlight w:val="none"/>
          <w:lang w:eastAsia="zh-CN"/>
        </w:rPr>
        <w:t xml:space="preserve">审计结算价款付清（不含利息）</w:t>
      </w:r>
      <w:r>
        <w:rPr>
          <w:rFonts w:hint="eastAsia" w:ascii="宋体" w:hAnsi="宋体" w:eastAsia="宋体" w:cs="宋体"/>
          <w:sz w:val="24"/>
          <w:szCs w:val="24"/>
          <w:highlight w:val="none"/>
        </w:rPr>
        <w:t xml:space="preserve">（甲方支付款项前，乙方须按甲方要求出具等额的真实发票）。</w:t>
      </w:r>
      <w:r>
        <w:rPr>
          <w:rFonts w:hint="eastAsia" w:ascii="宋体" w:hAnsi="宋体" w:eastAsia="宋体" w:cs="宋体"/>
          <w:sz w:val="24"/>
          <w:szCs w:val="24"/>
        </w:rPr>
        <w:t xml:space="preserve">结算方式：本项目采用“固定单价”合同，合同实施过程中中标综合单价不作调整。</w:t>
      </w:r>
      <w:r>
        <w:rPr>
          <w:rFonts w:hint="eastAsia" w:ascii="宋体" w:hAnsi="宋体" w:eastAsia="宋体" w:cs="宋体"/>
          <w:sz w:val="24"/>
          <w:szCs w:val="24"/>
        </w:rPr>
        <w:br/>
      </w:r>
      <w:r>
        <w:rPr>
          <w:rFonts w:hint="eastAsia" w:ascii="宋体" w:hAnsi="宋体" w:eastAsia="宋体" w:cs="宋体"/>
          <w:sz w:val="24"/>
          <w:szCs w:val="24"/>
        </w:rPr>
        <w:t xml:space="preserve">（1）投标报价按货物采购清单报价，采用全费用综合单价法报价。投标报价应是</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所确定发包范围内的全部内容的价格体现。投标全费用综合单价应包括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（2）、本次报价中必须包含运费、基础、安装、税金等一切费用。此费用包含在投标报价中，不单独列项。</w:t>
      </w:r>
      <w:r/>
    </w:p>
    <w:p>
      <w:pPr>
        <w:ind w:firstLine="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九</w:t>
      </w:r>
      <w:r>
        <w:rPr>
          <w:rFonts w:hint="eastAsia" w:ascii="宋体" w:hAnsi="宋体" w:eastAsia="宋体" w:cs="宋体"/>
          <w:sz w:val="24"/>
          <w:szCs w:val="24"/>
        </w:rPr>
        <w:t xml:space="preserve">、税费</w:t>
      </w:r>
      <w:r>
        <w:rPr>
          <w:rFonts w:hint="eastAsia" w:ascii="宋体" w:hAnsi="宋体" w:eastAsia="宋体" w:cs="宋体"/>
          <w:sz w:val="24"/>
          <w:szCs w:val="24"/>
        </w:rPr>
        <w:br/>
      </w:r>
      <w:r>
        <w:rPr>
          <w:rFonts w:hint="eastAsia" w:ascii="宋体" w:hAnsi="宋体" w:eastAsia="宋体" w:cs="宋体"/>
          <w:sz w:val="24"/>
          <w:szCs w:val="24"/>
        </w:rPr>
        <w:t xml:space="preserve">本合同执行中相关的一切税费均由乙方负担。</w:t>
      </w:r>
      <w:r>
        <w:rPr>
          <w:rFonts w:hint="eastAsia" w:ascii="宋体" w:hAnsi="宋体" w:eastAsia="宋体" w:cs="宋体"/>
          <w:sz w:val="24"/>
          <w:szCs w:val="24"/>
        </w:rPr>
        <w:br/>
      </w:r>
      <w:r>
        <w:rPr>
          <w:rFonts w:hint="eastAsia" w:ascii="宋体" w:hAnsi="宋体" w:eastAsia="宋体" w:cs="宋体"/>
          <w:sz w:val="24"/>
          <w:szCs w:val="24"/>
        </w:rPr>
        <w:t xml:space="preserve">十、质量保证及售后服务</w:t>
      </w:r>
      <w:r>
        <w:rPr>
          <w:rFonts w:hint="eastAsia" w:ascii="宋体" w:hAnsi="宋体" w:eastAsia="宋体" w:cs="宋体"/>
          <w:sz w:val="24"/>
          <w:szCs w:val="24"/>
        </w:rPr>
        <w:br/>
      </w:r>
      <w:r>
        <w:rPr>
          <w:rFonts w:hint="eastAsia" w:ascii="宋体" w:hAnsi="宋体" w:eastAsia="宋体" w:cs="宋体"/>
          <w:sz w:val="24"/>
          <w:szCs w:val="24"/>
        </w:rPr>
        <w:t xml:space="preserve">1、乙方负责提供本项目范围内所使用的所有货物设备、材料、装置的原产地证明、质保、售后文件和相应的等级标准证明并承诺向甲方提供有关制造业的质保证明。</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宋体" w:hAnsi="宋体" w:eastAsia="宋体" w:cs="宋体"/>
          <w:sz w:val="24"/>
          <w:szCs w:val="24"/>
        </w:rPr>
        <w:br/>
      </w:r>
      <w:r>
        <w:rPr>
          <w:rFonts w:hint="eastAsia" w:ascii="宋体" w:hAnsi="宋体" w:eastAsia="宋体" w:cs="宋体"/>
          <w:sz w:val="24"/>
          <w:szCs w:val="24"/>
        </w:rPr>
        <w:t xml:space="preserve">3、在质量保证期内，如果货物的数量、质量或规格与合同及发包需求不符，或证明货物是有缺陷的，包括潜在的缺陷或使用不符合要求的材料等，甲方以书面形式向乙方提出维修、更换和索赔。</w:t>
      </w:r>
      <w:r>
        <w:rPr>
          <w:rFonts w:hint="eastAsia" w:ascii="宋体" w:hAnsi="宋体" w:eastAsia="宋体" w:cs="宋体"/>
          <w:sz w:val="24"/>
          <w:szCs w:val="24"/>
        </w:rPr>
        <w:br/>
      </w:r>
      <w:r>
        <w:rPr>
          <w:rFonts w:hint="eastAsia" w:ascii="宋体" w:hAnsi="宋体" w:eastAsia="宋体" w:cs="宋体"/>
          <w:sz w:val="24"/>
          <w:szCs w:val="24"/>
        </w:rPr>
        <w:t xml:space="preserve">4、乙方在收到通知后，应在合同中所附服务承诺约定的时间内必须主动协助甲方对设备免费维修、更换有缺陷的货物或部件。</w:t>
      </w:r>
      <w:r>
        <w:rPr>
          <w:rFonts w:hint="eastAsia" w:ascii="宋体" w:hAnsi="宋体" w:eastAsia="宋体" w:cs="宋体"/>
          <w:sz w:val="24"/>
          <w:szCs w:val="24"/>
        </w:rPr>
        <w:br/>
      </w:r>
      <w:r>
        <w:rPr>
          <w:rFonts w:hint="eastAsia" w:ascii="宋体" w:hAnsi="宋体" w:eastAsia="宋体" w:cs="宋体"/>
          <w:sz w:val="24"/>
          <w:szCs w:val="24"/>
        </w:rPr>
        <w:t xml:space="preserve">5、如果乙方在收到通知后，在合同中所附服务承诺约定的时间内没有弥补缺陷，甲方可采取必要的补救措施，但风险和费用将由乙方承担。</w:t>
      </w:r>
      <w:r>
        <w:rPr>
          <w:rFonts w:hint="eastAsia" w:ascii="宋体" w:hAnsi="宋体" w:eastAsia="宋体" w:cs="宋体"/>
          <w:sz w:val="24"/>
          <w:szCs w:val="24"/>
        </w:rPr>
        <w:br/>
      </w:r>
      <w:r>
        <w:rPr>
          <w:rFonts w:hint="eastAsia" w:ascii="宋体" w:hAnsi="宋体" w:eastAsia="宋体" w:cs="宋体"/>
          <w:sz w:val="24"/>
          <w:szCs w:val="24"/>
        </w:rPr>
        <w:t xml:space="preserve">6、在质保期内，乙方应对货物出现的质量及安全问题负责处理解决并承担一切费用。</w:t>
      </w:r>
      <w:r>
        <w:rPr>
          <w:rFonts w:hint="eastAsia" w:ascii="宋体" w:hAnsi="宋体" w:eastAsia="宋体" w:cs="宋体"/>
          <w:sz w:val="24"/>
          <w:szCs w:val="24"/>
        </w:rPr>
        <w:br/>
      </w:r>
      <w:r>
        <w:rPr>
          <w:rFonts w:hint="eastAsia" w:ascii="宋体" w:hAnsi="宋体" w:eastAsia="宋体" w:cs="宋体"/>
          <w:sz w:val="24"/>
          <w:szCs w:val="24"/>
        </w:rPr>
        <w:t xml:space="preserve">7、质量保证及售后服务要求：</w:t>
      </w:r>
      <w:r>
        <w:rPr>
          <w:rFonts w:hint="eastAsia" w:ascii="宋体" w:hAnsi="宋体" w:eastAsia="宋体" w:cs="宋体"/>
          <w:sz w:val="24"/>
          <w:szCs w:val="24"/>
          <w:highlight w:val="none"/>
        </w:rPr>
        <w:t xml:space="preserve">本项目质保期为</w:t>
      </w:r>
      <w:r>
        <w:rPr>
          <w:rFonts w:hint="eastAsia" w:ascii="宋体" w:hAnsi="宋体" w:eastAsia="宋体" w:cs="宋体"/>
          <w:sz w:val="24"/>
          <w:szCs w:val="24"/>
          <w:highlight w:val="none"/>
          <w:lang w:eastAsia="zh-CN"/>
        </w:rPr>
        <w:t xml:space="preserve">2年</w:t>
      </w:r>
      <w:r>
        <w:rPr>
          <w:rFonts w:hint="eastAsia" w:ascii="宋体" w:hAnsi="宋体" w:eastAsia="宋体" w:cs="宋体"/>
          <w:sz w:val="24"/>
          <w:szCs w:val="24"/>
          <w:highlight w:val="none"/>
        </w:rPr>
        <w:t xml:space="preserve"> </w:t>
      </w:r>
      <w:r>
        <w:rPr>
          <w:rFonts w:hint="eastAsia" w:ascii="宋体" w:hAnsi="宋体" w:eastAsia="宋体" w:cs="宋体"/>
          <w:sz w:val="24"/>
          <w:szCs w:val="24"/>
        </w:rPr>
        <w:t xml:space="preserve">，对所建设的项目在质保期内提供技术支持、备品备件及维保服务。</w:t>
      </w:r>
      <w:r>
        <w:rPr>
          <w:rFonts w:hint="eastAsia" w:ascii="宋体" w:hAnsi="宋体" w:eastAsia="宋体" w:cs="宋体"/>
          <w:sz w:val="24"/>
          <w:szCs w:val="24"/>
          <w:lang w:eastAsia="zh-CN"/>
        </w:rPr>
        <w:t xml:space="preserve">（具体质保期按照供应商投标时承诺为准）</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、售后服务计划：</w:t>
      </w:r>
      <w:r>
        <w:rPr>
          <w:rFonts w:hint="eastAsia" w:ascii="宋体" w:hAnsi="宋体" w:eastAsia="宋体" w:cs="宋体"/>
          <w:sz w:val="24"/>
          <w:szCs w:val="24"/>
        </w:rPr>
        <w:br/>
      </w:r>
      <w:r>
        <w:rPr>
          <w:rFonts w:hint="eastAsia" w:ascii="宋体" w:hAnsi="宋体" w:eastAsia="宋体" w:cs="宋体"/>
          <w:sz w:val="24"/>
          <w:szCs w:val="24"/>
        </w:rPr>
        <w:t xml:space="preserve">售后服务机构地址： </w:t>
      </w:r>
      <w:r>
        <w:rPr>
          <w:rFonts w:hint="eastAsia" w:ascii="宋体" w:hAnsi="宋体" w:eastAsia="宋体" w:cs="宋体"/>
          <w:sz w:val="24"/>
          <w:szCs w:val="24"/>
        </w:rPr>
        <w:br/>
      </w:r>
      <w:r>
        <w:rPr>
          <w:rFonts w:hint="eastAsia" w:ascii="宋体" w:hAnsi="宋体" w:eastAsia="宋体" w:cs="宋体"/>
          <w:sz w:val="24"/>
          <w:szCs w:val="24"/>
        </w:rPr>
        <w:t xml:space="preserve">联系电话： </w:t>
      </w:r>
      <w:r>
        <w:rPr>
          <w:rFonts w:hint="eastAsia" w:ascii="宋体" w:hAnsi="宋体" w:eastAsia="宋体" w:cs="宋体"/>
          <w:sz w:val="24"/>
          <w:szCs w:val="24"/>
        </w:rPr>
        <w:br/>
      </w:r>
      <w:r>
        <w:rPr>
          <w:rFonts w:hint="eastAsia" w:ascii="宋体" w:hAnsi="宋体" w:eastAsia="宋体" w:cs="宋体"/>
          <w:sz w:val="24"/>
          <w:szCs w:val="24"/>
        </w:rPr>
        <w:t xml:space="preserve">其他服务承诺： </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、调试和验收</w:t>
      </w:r>
      <w:r>
        <w:rPr>
          <w:rFonts w:hint="eastAsia" w:ascii="宋体" w:hAnsi="宋体" w:eastAsia="宋体" w:cs="宋体"/>
          <w:sz w:val="24"/>
          <w:szCs w:val="24"/>
        </w:rPr>
        <w:br/>
      </w:r>
      <w:r>
        <w:rPr>
          <w:rFonts w:hint="eastAsia" w:ascii="宋体" w:hAnsi="宋体" w:eastAsia="宋体" w:cs="宋体"/>
          <w:sz w:val="24"/>
          <w:szCs w:val="24"/>
        </w:rPr>
        <w:t xml:space="preserve">1、本项目在使用前进行调试时，乙方需负责安装并培训</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的使用操作人员，并协助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一起调试，直到符合技术要求，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才做最终验收。</w:t>
      </w:r>
      <w:r>
        <w:rPr>
          <w:rFonts w:hint="eastAsia" w:ascii="宋体" w:hAnsi="宋体" w:eastAsia="宋体" w:cs="宋体"/>
          <w:sz w:val="24"/>
          <w:szCs w:val="24"/>
        </w:rPr>
        <w:br/>
      </w:r>
      <w:r>
        <w:rPr>
          <w:rFonts w:hint="eastAsia" w:ascii="宋体" w:hAnsi="宋体" w:eastAsia="宋体" w:cs="宋体"/>
          <w:sz w:val="24"/>
          <w:szCs w:val="24"/>
        </w:rPr>
        <w:t xml:space="preserve">2、乙方在安装调试过程中必须确保安全，乙方自行承担设备安装调试过程中的质量、任何状况下的安全责任，发生的一切问题和责任与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无关，相关一切费用或民事、刑事责任均由乙方自理。若乙方不能及时处理所发生的问题和责任，并且影响到系统总体进度时，</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有权处理相关事务，所发生的费用在支付合同款时扣除。</w:t>
      </w:r>
      <w:r>
        <w:rPr>
          <w:rFonts w:hint="eastAsia" w:ascii="宋体" w:hAnsi="宋体" w:eastAsia="宋体" w:cs="宋体"/>
          <w:sz w:val="24"/>
          <w:szCs w:val="24"/>
        </w:rPr>
        <w:br/>
      </w:r>
      <w:r>
        <w:rPr>
          <w:rFonts w:hint="eastAsia" w:ascii="宋体" w:hAnsi="宋体" w:eastAsia="宋体" w:cs="宋体"/>
          <w:sz w:val="24"/>
          <w:szCs w:val="24"/>
        </w:rPr>
        <w:t xml:space="preserve">3、本项目涉及验收标准包括但不限于公安部门、行业部门有关标准规范。</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、货物包装、发运及运输</w:t>
      </w:r>
      <w:r>
        <w:rPr>
          <w:rFonts w:hint="eastAsia" w:ascii="宋体" w:hAnsi="宋体" w:eastAsia="宋体" w:cs="宋体"/>
          <w:sz w:val="24"/>
          <w:szCs w:val="24"/>
        </w:rPr>
        <w:br/>
      </w:r>
      <w:r>
        <w:rPr>
          <w:rFonts w:hint="eastAsia" w:ascii="宋体" w:hAnsi="宋体" w:eastAsia="宋体" w:cs="宋体"/>
          <w:sz w:val="24"/>
          <w:szCs w:val="24"/>
        </w:rPr>
        <w:t xml:space="preserve">1. 乙方应在货物发运前对其进行满足运输距离、防潮、防震、防锈和防破损装卸等要求包装，以保证货物安全运达</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w:t>
      </w:r>
      <w:r>
        <w:rPr>
          <w:rFonts w:hint="eastAsia" w:ascii="宋体" w:hAnsi="宋体" w:eastAsia="宋体" w:cs="宋体"/>
          <w:sz w:val="24"/>
          <w:szCs w:val="24"/>
        </w:rPr>
        <w:br/>
      </w:r>
      <w:r>
        <w:rPr>
          <w:rFonts w:hint="eastAsia" w:ascii="宋体" w:hAnsi="宋体" w:eastAsia="宋体" w:cs="宋体"/>
          <w:sz w:val="24"/>
          <w:szCs w:val="24"/>
        </w:rPr>
        <w:t xml:space="preserve">2. 使用说明书、质量检验证明书、随配附件和工具、质量合格凭证及装箱清单一并附于货物内，安装调试完毕后按设备清单逐一按序交付给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 所供货物必须首先符合有关国家强制性规定、国家（行业）标准或相关法律法规要求，同时满足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质量要求和使用需求。供方应提供全新未拆封产品（包括零部件、附件、备品备件），如确需拆封的，应在供货前征得采购人同意，否则视为不能交货。供方保证全部按照合同规定的时间和方式向需方提供货物和服务，并负责可能的弥补缺陷。</w:t>
      </w:r>
      <w:r>
        <w:rPr>
          <w:rFonts w:hint="eastAsia" w:ascii="宋体" w:hAnsi="宋体" w:eastAsia="宋体" w:cs="宋体"/>
          <w:sz w:val="24"/>
          <w:szCs w:val="24"/>
        </w:rPr>
        <w:br/>
      </w:r>
      <w:r>
        <w:rPr>
          <w:rFonts w:hint="eastAsia" w:ascii="宋体" w:hAnsi="宋体" w:eastAsia="宋体" w:cs="宋体"/>
          <w:sz w:val="24"/>
          <w:szCs w:val="24"/>
        </w:rPr>
        <w:t xml:space="preserve">4. 货物在交付甲方前发生的风险均由乙方负责。</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、违约责任</w:t>
      </w:r>
      <w:r>
        <w:rPr>
          <w:rFonts w:hint="eastAsia" w:ascii="宋体" w:hAnsi="宋体" w:eastAsia="宋体" w:cs="宋体"/>
          <w:sz w:val="24"/>
          <w:szCs w:val="24"/>
        </w:rPr>
        <w:br/>
      </w:r>
      <w:r>
        <w:rPr>
          <w:rFonts w:hint="eastAsia" w:ascii="宋体" w:hAnsi="宋体" w:eastAsia="宋体" w:cs="宋体"/>
          <w:sz w:val="24"/>
          <w:szCs w:val="24"/>
        </w:rPr>
        <w:t xml:space="preserve">1、完成时间：乙方应在投标文件承诺完成期限前完成全部工作内容，并经相关部门验收合格，不能按期完成的，采购人保留索赔的权利。</w:t>
      </w:r>
      <w:r>
        <w:rPr>
          <w:rFonts w:hint="eastAsia" w:ascii="宋体" w:hAnsi="宋体" w:eastAsia="宋体" w:cs="宋体"/>
          <w:sz w:val="24"/>
          <w:szCs w:val="24"/>
        </w:rPr>
        <w:br/>
      </w:r>
      <w:r>
        <w:rPr>
          <w:rFonts w:hint="eastAsia" w:ascii="宋体" w:hAnsi="宋体" w:eastAsia="宋体" w:cs="宋体"/>
          <w:sz w:val="24"/>
          <w:szCs w:val="24"/>
        </w:rPr>
        <w:t xml:space="preserve">2、项目实施过程中，如果达不到承诺质量目标，无法满足甲方的使用需求，乙方必须无偿整改达到承诺质量目标，另按合同价款的5%向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支付违约金。由此造成的时间延误将不予顺延，给甲方造成实际损失的还将承担经济赔偿责任。</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、不可抗力事件处理</w:t>
      </w:r>
      <w:r>
        <w:rPr>
          <w:rFonts w:hint="eastAsia" w:ascii="宋体" w:hAnsi="宋体" w:eastAsia="宋体" w:cs="宋体"/>
          <w:sz w:val="24"/>
          <w:szCs w:val="24"/>
        </w:rPr>
        <w:br/>
      </w:r>
      <w:r>
        <w:rPr>
          <w:rFonts w:hint="eastAsia" w:ascii="宋体" w:hAnsi="宋体" w:eastAsia="宋体" w:cs="宋体"/>
          <w:sz w:val="24"/>
          <w:szCs w:val="24"/>
        </w:rPr>
        <w:t xml:space="preserve">1. 在合同有效期内，任何一方因不可抗力事件导致不能履行合同，则合同履行期可延长，其延长期与不可抗力影响期相同。</w:t>
      </w:r>
      <w:r>
        <w:rPr>
          <w:rFonts w:hint="eastAsia" w:ascii="宋体" w:hAnsi="宋体" w:eastAsia="宋体" w:cs="宋体"/>
          <w:sz w:val="24"/>
          <w:szCs w:val="24"/>
        </w:rPr>
        <w:br/>
      </w:r>
      <w:r>
        <w:rPr>
          <w:rFonts w:hint="eastAsia" w:ascii="宋体" w:hAnsi="宋体" w:eastAsia="宋体" w:cs="宋体"/>
          <w:sz w:val="24"/>
          <w:szCs w:val="24"/>
        </w:rPr>
        <w:t xml:space="preserve">2. 不可抗力事件发生后，应立即通知对方，并寄送有关权威机构出具的证明。</w:t>
      </w:r>
      <w:r>
        <w:rPr>
          <w:rFonts w:hint="eastAsia" w:ascii="宋体" w:hAnsi="宋体" w:eastAsia="宋体" w:cs="宋体"/>
          <w:sz w:val="24"/>
          <w:szCs w:val="24"/>
        </w:rPr>
        <w:br/>
      </w:r>
      <w:r>
        <w:rPr>
          <w:rFonts w:hint="eastAsia" w:ascii="宋体" w:hAnsi="宋体" w:eastAsia="宋体" w:cs="宋体"/>
          <w:sz w:val="24"/>
          <w:szCs w:val="24"/>
        </w:rPr>
        <w:t xml:space="preserve">3. 不可抗力事件延续120天以上，双方应通过友好协商，确定是否继续履行合同。</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、仲裁与诉讼</w:t>
      </w:r>
      <w:r>
        <w:rPr>
          <w:rFonts w:hint="eastAsia" w:ascii="宋体" w:hAnsi="宋体" w:eastAsia="宋体" w:cs="宋体"/>
          <w:sz w:val="24"/>
          <w:szCs w:val="24"/>
        </w:rPr>
        <w:br/>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双方在执行合同中所发生的一切争议，应通过协商解决。如协商不成，可申请向项目所在地人民法院起诉。</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、合同附则</w:t>
      </w:r>
      <w:r>
        <w:rPr>
          <w:rFonts w:hint="eastAsia" w:ascii="宋体" w:hAnsi="宋体" w:eastAsia="宋体" w:cs="宋体"/>
          <w:sz w:val="24"/>
          <w:szCs w:val="24"/>
        </w:rPr>
        <w:br/>
      </w: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乙方所提供货物、设备、及服务及必须满足所有功能要求，乙方有责任保证采购人系统的功能性和完整性，未在</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中明示的设备及附配件，乙方在投标报价时已予以考虑，如项目实施过程中因缺少设备、配件或服务导致采购人系统无法正常运行，乙方须承诺免费提供；除采购人明确提出的变更外，本项目不再增加任何费用；</w:t>
      </w:r>
      <w:r>
        <w:rPr>
          <w:rFonts w:hint="eastAsia" w:ascii="宋体" w:hAnsi="宋体" w:eastAsia="宋体" w:cs="宋体"/>
          <w:sz w:val="24"/>
          <w:szCs w:val="24"/>
        </w:rPr>
        <w:br/>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乙方须保证所提供硬件设备和货物产品包括相关附件为相应厂商的原装正品。</w:t>
      </w:r>
      <w:r>
        <w:rPr>
          <w:rFonts w:hint="eastAsia" w:ascii="宋体" w:hAnsi="宋体" w:eastAsia="宋体" w:cs="宋体"/>
          <w:sz w:val="24"/>
          <w:szCs w:val="24"/>
        </w:rPr>
        <w:br/>
      </w: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乙方与原厂商共同负责硬件设备安装、货物安装及调试与验收，提供详细的安装调试方案，并提交采购人认可方可实施。</w:t>
      </w:r>
      <w:r>
        <w:rPr>
          <w:rFonts w:hint="eastAsia" w:ascii="宋体" w:hAnsi="宋体" w:eastAsia="宋体" w:cs="宋体"/>
          <w:sz w:val="24"/>
          <w:szCs w:val="24"/>
        </w:rPr>
        <w:br/>
      </w:r>
      <w:r>
        <w:rPr>
          <w:rFonts w:hint="eastAsia" w:ascii="宋体" w:hAnsi="宋体" w:eastAsia="宋体" w:cs="宋体"/>
          <w:sz w:val="24"/>
          <w:szCs w:val="24"/>
        </w:rPr>
        <w:t xml:space="preserve">设备安装、调试所需的工具、仪表及安装材料由乙方自行解决。施工过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应严格执行相关的强弱电施工规范，并保证施工安全。</w:t>
      </w:r>
      <w:r>
        <w:rPr>
          <w:rFonts w:hint="eastAsia" w:ascii="宋体" w:hAnsi="宋体" w:eastAsia="宋体" w:cs="宋体"/>
          <w:sz w:val="24"/>
          <w:szCs w:val="24"/>
        </w:rPr>
        <w:br/>
      </w:r>
      <w:r>
        <w:rPr>
          <w:rFonts w:hint="eastAsia" w:ascii="宋体" w:hAnsi="宋体" w:eastAsia="宋体" w:cs="宋体"/>
          <w:sz w:val="24"/>
          <w:szCs w:val="24"/>
        </w:rPr>
        <w:t xml:space="preserve">设备安装、调测的主要目标是使整个系统能够连通并具有可操作性、所有设备能够接通并正常运转，乙方必须响应下列安装、调测要求：</w:t>
      </w:r>
      <w:r>
        <w:rPr>
          <w:rFonts w:hint="eastAsia" w:ascii="宋体" w:hAnsi="宋体" w:eastAsia="宋体" w:cs="宋体"/>
          <w:sz w:val="24"/>
          <w:szCs w:val="24"/>
        </w:rPr>
        <w:br/>
      </w:r>
      <w:r>
        <w:rPr>
          <w:rFonts w:hint="eastAsia" w:ascii="宋体" w:hAnsi="宋体" w:eastAsia="宋体" w:cs="宋体"/>
          <w:sz w:val="24"/>
          <w:szCs w:val="24"/>
        </w:rPr>
        <w:t xml:space="preserve">（1）安装、调试要求按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执行。</w:t>
      </w:r>
      <w:r>
        <w:rPr>
          <w:rFonts w:hint="eastAsia" w:ascii="宋体" w:hAnsi="宋体" w:eastAsia="宋体" w:cs="宋体"/>
          <w:sz w:val="24"/>
          <w:szCs w:val="24"/>
        </w:rPr>
        <w:br/>
      </w:r>
      <w:r>
        <w:rPr>
          <w:rFonts w:hint="eastAsia" w:ascii="宋体" w:hAnsi="宋体" w:eastAsia="宋体" w:cs="宋体"/>
          <w:sz w:val="24"/>
          <w:szCs w:val="24"/>
        </w:rPr>
        <w:t xml:space="preserve">（2）如安装、调测中出现不符合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和合同要求的严重质量问题时，不能满足使用要求的，采购人保留索赔的权利。</w:t>
      </w:r>
      <w:r>
        <w:rPr>
          <w:rFonts w:hint="eastAsia" w:ascii="宋体" w:hAnsi="宋体" w:eastAsia="宋体" w:cs="宋体"/>
          <w:sz w:val="24"/>
          <w:szCs w:val="24"/>
        </w:rPr>
        <w:br/>
      </w:r>
      <w:r>
        <w:rPr>
          <w:rFonts w:hint="eastAsia" w:ascii="宋体" w:hAnsi="宋体" w:eastAsia="宋体" w:cs="宋体"/>
          <w:sz w:val="24"/>
          <w:szCs w:val="24"/>
        </w:rPr>
        <w:t xml:space="preserve">4、测试和验收</w:t>
      </w:r>
      <w:r>
        <w:rPr>
          <w:rFonts w:hint="eastAsia" w:ascii="宋体" w:hAnsi="宋体" w:eastAsia="宋体" w:cs="宋体"/>
          <w:sz w:val="24"/>
          <w:szCs w:val="24"/>
        </w:rPr>
        <w:br/>
      </w:r>
      <w:r>
        <w:rPr>
          <w:rFonts w:hint="eastAsia" w:ascii="宋体" w:hAnsi="宋体" w:eastAsia="宋体" w:cs="宋体"/>
          <w:sz w:val="24"/>
          <w:szCs w:val="24"/>
        </w:rPr>
        <w:t xml:space="preserve">乙方应向采购方提交测试内容和方法。测试计划和技术内容由乙方拟定，经采购人确认后共同实施。</w:t>
      </w:r>
      <w:r>
        <w:rPr>
          <w:rFonts w:hint="eastAsia" w:ascii="宋体" w:hAnsi="宋体" w:eastAsia="宋体" w:cs="宋体"/>
          <w:sz w:val="24"/>
          <w:szCs w:val="24"/>
        </w:rPr>
        <w:br/>
      </w:r>
      <w:r>
        <w:rPr>
          <w:rFonts w:hint="eastAsia" w:ascii="宋体" w:hAnsi="宋体" w:eastAsia="宋体" w:cs="宋体"/>
          <w:sz w:val="24"/>
          <w:szCs w:val="24"/>
        </w:rPr>
        <w:t xml:space="preserve">5、技术文档要求：</w:t>
      </w:r>
      <w:r>
        <w:rPr>
          <w:rFonts w:hint="eastAsia" w:ascii="宋体" w:hAnsi="宋体" w:eastAsia="宋体" w:cs="宋体"/>
          <w:sz w:val="24"/>
          <w:szCs w:val="24"/>
        </w:rPr>
        <w:br/>
      </w:r>
      <w:r>
        <w:rPr>
          <w:rFonts w:hint="eastAsia" w:ascii="宋体" w:hAnsi="宋体" w:eastAsia="宋体" w:cs="宋体"/>
          <w:sz w:val="24"/>
          <w:szCs w:val="24"/>
        </w:rPr>
        <w:t xml:space="preserve">乙方应向采购人提供安装调试过程中的各种文档资料。</w:t>
      </w:r>
      <w:r>
        <w:rPr>
          <w:rFonts w:hint="eastAsia" w:ascii="宋体" w:hAnsi="宋体" w:eastAsia="宋体" w:cs="宋体"/>
          <w:sz w:val="24"/>
          <w:szCs w:val="24"/>
        </w:rPr>
        <w:br/>
      </w:r>
      <w:r>
        <w:rPr>
          <w:rFonts w:hint="eastAsia" w:ascii="宋体" w:hAnsi="宋体" w:eastAsia="宋体" w:cs="宋体"/>
          <w:sz w:val="24"/>
          <w:szCs w:val="24"/>
        </w:rPr>
        <w:t xml:space="preserve">1)有关产品正确安装与详细配置（包括安装方法、安装步骤及各种配置参数等）资料要以易理解的方式（包括详细说明及图示）形成中文文档，交与采购人。</w:t>
      </w:r>
      <w:r>
        <w:rPr>
          <w:rFonts w:hint="eastAsia" w:ascii="宋体" w:hAnsi="宋体" w:eastAsia="宋体" w:cs="宋体"/>
          <w:sz w:val="24"/>
          <w:szCs w:val="24"/>
        </w:rPr>
        <w:br/>
      </w:r>
      <w:r>
        <w:rPr>
          <w:rFonts w:hint="eastAsia" w:ascii="宋体" w:hAnsi="宋体" w:eastAsia="宋体" w:cs="宋体"/>
          <w:sz w:val="24"/>
          <w:szCs w:val="24"/>
        </w:rPr>
        <w:t xml:space="preserve">2)乙方对本次采购的软、硬件产品提供正式的操作手册和维护手册，提供中文版技术文档。</w:t>
      </w:r>
      <w:r>
        <w:rPr>
          <w:rFonts w:hint="eastAsia" w:ascii="宋体" w:hAnsi="宋体" w:eastAsia="宋体" w:cs="宋体"/>
          <w:sz w:val="24"/>
          <w:szCs w:val="24"/>
        </w:rPr>
        <w:br/>
      </w:r>
      <w:r>
        <w:rPr>
          <w:rFonts w:hint="eastAsia" w:ascii="宋体" w:hAnsi="宋体" w:eastAsia="宋体" w:cs="宋体"/>
          <w:sz w:val="24"/>
          <w:szCs w:val="24"/>
        </w:rPr>
        <w:t xml:space="preserve">3)交货时，技术文档应与货物一起交付。乙方提交的技术文档的内容必须与所提供的产品相一致，应尽可能详细。所提交的技术文档必须是正式出版和装订的，</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无效，其费用应包括在该品目的基本报价中。为了培训的目的，采购人有权复制这些资料而不受限制。</w:t>
      </w:r>
      <w:r>
        <w:rPr>
          <w:rFonts w:hint="eastAsia" w:ascii="宋体" w:hAnsi="宋体" w:eastAsia="宋体" w:cs="宋体"/>
          <w:sz w:val="24"/>
          <w:szCs w:val="24"/>
        </w:rPr>
        <w:br/>
      </w:r>
      <w:r>
        <w:rPr>
          <w:rFonts w:hint="eastAsia" w:ascii="宋体" w:hAnsi="宋体" w:eastAsia="宋体" w:cs="宋体"/>
          <w:sz w:val="24"/>
          <w:szCs w:val="24"/>
        </w:rPr>
        <w:t xml:space="preserve">4)在产品验收后，乙方应将所有技术文档和安装、调试资料移交给采购人。</w:t>
      </w:r>
      <w:r>
        <w:rPr>
          <w:rFonts w:hint="eastAsia" w:ascii="宋体" w:hAnsi="宋体" w:eastAsia="宋体" w:cs="宋体"/>
          <w:sz w:val="24"/>
          <w:szCs w:val="24"/>
        </w:rPr>
        <w:br/>
      </w:r>
      <w:r>
        <w:rPr>
          <w:rFonts w:hint="eastAsia" w:ascii="宋体" w:hAnsi="宋体" w:eastAsia="宋体" w:cs="宋体"/>
          <w:sz w:val="24"/>
          <w:szCs w:val="24"/>
        </w:rPr>
        <w:t xml:space="preserve">包括但不限于以下资料：</w:t>
      </w:r>
      <w:r>
        <w:rPr>
          <w:rFonts w:hint="eastAsia" w:ascii="宋体" w:hAnsi="宋体" w:eastAsia="宋体" w:cs="宋体"/>
          <w:sz w:val="24"/>
          <w:szCs w:val="24"/>
        </w:rPr>
        <w:br/>
      </w:r>
      <w:r>
        <w:rPr>
          <w:rFonts w:hint="eastAsia" w:ascii="宋体" w:hAnsi="宋体" w:eastAsia="宋体" w:cs="宋体"/>
          <w:sz w:val="24"/>
          <w:szCs w:val="24"/>
        </w:rPr>
        <w:t xml:space="preserve">1）对产品各项技术指标的测试报告。</w:t>
      </w:r>
      <w:r>
        <w:rPr>
          <w:rFonts w:hint="eastAsia" w:ascii="宋体" w:hAnsi="宋体" w:eastAsia="宋体" w:cs="宋体"/>
          <w:sz w:val="24"/>
          <w:szCs w:val="24"/>
        </w:rPr>
        <w:br/>
      </w:r>
      <w:r>
        <w:rPr>
          <w:rFonts w:hint="eastAsia" w:ascii="宋体" w:hAnsi="宋体" w:eastAsia="宋体" w:cs="宋体"/>
          <w:sz w:val="24"/>
          <w:szCs w:val="24"/>
        </w:rPr>
        <w:t xml:space="preserve">2）技术文件：设备制造、安装、调试、验收、运行、使用、测试、诊断、日常维护和维修的技术文件。</w:t>
      </w:r>
      <w:r>
        <w:rPr>
          <w:rFonts w:hint="eastAsia" w:ascii="宋体" w:hAnsi="宋体" w:eastAsia="宋体" w:cs="宋体"/>
          <w:sz w:val="24"/>
          <w:szCs w:val="24"/>
        </w:rPr>
        <w:br/>
      </w:r>
      <w:r>
        <w:rPr>
          <w:rFonts w:hint="eastAsia" w:ascii="宋体" w:hAnsi="宋体" w:eastAsia="宋体" w:cs="宋体"/>
          <w:sz w:val="24"/>
          <w:szCs w:val="24"/>
        </w:rPr>
        <w:t xml:space="preserve">3）详细的产品质量文件：包括外形尺寸、性能检验、产品合格证明书、软件原厂商正版授权等文件。</w:t>
      </w:r>
      <w:r>
        <w:rPr>
          <w:rFonts w:hint="eastAsia" w:ascii="宋体" w:hAnsi="宋体" w:eastAsia="宋体" w:cs="宋体"/>
          <w:sz w:val="24"/>
          <w:szCs w:val="24"/>
        </w:rPr>
        <w:br/>
      </w:r>
      <w:r>
        <w:rPr>
          <w:rFonts w:hint="eastAsia" w:ascii="宋体" w:hAnsi="宋体" w:eastAsia="宋体" w:cs="宋体"/>
          <w:sz w:val="24"/>
          <w:szCs w:val="24"/>
        </w:rPr>
        <w:t xml:space="preserve">4）安装计划：至少包括：运输/交货、安装日期、安装测试等。</w:t>
      </w:r>
      <w:r>
        <w:rPr>
          <w:rFonts w:hint="eastAsia" w:ascii="宋体" w:hAnsi="宋体" w:eastAsia="宋体" w:cs="宋体"/>
          <w:sz w:val="24"/>
          <w:szCs w:val="24"/>
        </w:rPr>
        <w:br/>
      </w:r>
      <w:r>
        <w:rPr>
          <w:rFonts w:hint="eastAsia" w:ascii="宋体" w:hAnsi="宋体" w:eastAsia="宋体" w:cs="宋体"/>
          <w:sz w:val="24"/>
          <w:szCs w:val="24"/>
        </w:rPr>
        <w:t xml:space="preserve">5）网络配置计划：包括配置图和配置清单。</w:t>
      </w:r>
      <w:r>
        <w:rPr>
          <w:rFonts w:hint="eastAsia" w:ascii="宋体" w:hAnsi="宋体" w:eastAsia="宋体" w:cs="宋体"/>
          <w:sz w:val="24"/>
          <w:szCs w:val="24"/>
        </w:rPr>
        <w:br/>
      </w:r>
      <w:r>
        <w:rPr>
          <w:rFonts w:hint="eastAsia" w:ascii="宋体" w:hAnsi="宋体" w:eastAsia="宋体" w:cs="宋体"/>
          <w:sz w:val="24"/>
          <w:szCs w:val="24"/>
        </w:rPr>
        <w:t xml:space="preserve">6）安装指南：乙方应当提供所购软件、硬件设备的安装指南。</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、合同生效及其它</w:t>
      </w:r>
      <w:r>
        <w:rPr>
          <w:rFonts w:hint="eastAsia" w:ascii="宋体" w:hAnsi="宋体" w:eastAsia="宋体" w:cs="宋体"/>
          <w:sz w:val="24"/>
          <w:szCs w:val="24"/>
        </w:rPr>
        <w:br/>
      </w:r>
      <w:r>
        <w:rPr>
          <w:rFonts w:hint="eastAsia" w:ascii="宋体" w:hAnsi="宋体" w:eastAsia="宋体" w:cs="宋体"/>
          <w:sz w:val="24"/>
          <w:szCs w:val="24"/>
        </w:rPr>
        <w:t xml:space="preserve">1. 合同经双方加盖单位公章后生效。</w:t>
      </w:r>
      <w:r>
        <w:rPr>
          <w:rFonts w:hint="eastAsia" w:ascii="宋体" w:hAnsi="宋体" w:eastAsia="宋体" w:cs="宋体"/>
          <w:sz w:val="24"/>
          <w:szCs w:val="24"/>
        </w:rPr>
        <w:br/>
      </w:r>
      <w:r>
        <w:rPr>
          <w:rFonts w:hint="eastAsia" w:ascii="宋体" w:hAnsi="宋体" w:eastAsia="宋体" w:cs="宋体"/>
          <w:sz w:val="24"/>
          <w:szCs w:val="24"/>
        </w:rPr>
        <w:t xml:space="preserve">2. 组成本合同的文件包括：本合同协议书；中标通知书；</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及答疑文件；投标书及其附件；各类规</w:t>
      </w:r>
      <w:r>
        <w:rPr>
          <w:rFonts w:hint="eastAsia" w:ascii="宋体" w:hAnsi="宋体" w:eastAsia="宋体" w:cs="宋体"/>
          <w:sz w:val="24"/>
          <w:szCs w:val="24"/>
          <w:lang w:eastAsia="zh-CN"/>
        </w:rPr>
        <w:t xml:space="preserve">范性</w:t>
      </w:r>
      <w:r>
        <w:rPr>
          <w:rFonts w:hint="eastAsia" w:ascii="宋体" w:hAnsi="宋体" w:eastAsia="宋体" w:cs="宋体"/>
          <w:sz w:val="24"/>
          <w:szCs w:val="24"/>
        </w:rPr>
        <w:t xml:space="preserve">文件；双方有关洽商、变更等书面协议或文件。</w:t>
      </w:r>
      <w:r>
        <w:rPr>
          <w:rFonts w:hint="eastAsia" w:ascii="宋体" w:hAnsi="宋体" w:eastAsia="宋体" w:cs="宋体"/>
          <w:sz w:val="24"/>
          <w:szCs w:val="24"/>
        </w:rPr>
        <w:br/>
      </w:r>
      <w:r>
        <w:rPr>
          <w:rFonts w:hint="eastAsia" w:ascii="宋体" w:hAnsi="宋体" w:eastAsia="宋体" w:cs="宋体"/>
          <w:sz w:val="24"/>
          <w:szCs w:val="24"/>
        </w:rPr>
        <w:t xml:space="preserve">3.合同执行中涉及采购资金和采购内容修改或补充的，如有变动，</w:t>
      </w:r>
      <w:r>
        <w:rPr>
          <w:rFonts w:hint="eastAsia" w:ascii="宋体" w:hAnsi="宋体" w:eastAsia="宋体" w:cs="宋体"/>
          <w:sz w:val="24"/>
          <w:szCs w:val="24"/>
          <w:lang w:eastAsia="zh-CN"/>
        </w:rPr>
        <w:t xml:space="preserve">双方自行商讨签订补充协议。</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4.本合同未尽事宜，双方在不违背本合同和</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文件的原则下协商解决，协商结果以书面形式盖章记录在案，作为本合同的附件，与本合同具有同等效力。</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：（盖单位章）</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                   乙</w:t>
      </w:r>
      <w:r>
        <w:rPr>
          <w:rFonts w:hint="eastAsia" w:ascii="宋体" w:hAnsi="宋体" w:eastAsia="宋体" w:cs="宋体"/>
          <w:sz w:val="24"/>
          <w:szCs w:val="24"/>
        </w:rPr>
        <w:t xml:space="preserve">方：（盖单位章）</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ind w:left="560" w:hanging="560"/>
        <w:keepLines w:val="0"/>
        <w:keepNext w:val="0"/>
        <w:pageBreakBefore w:val="0"/>
        <w:spacing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24"/>
          <w:szCs w:val="24"/>
          <w:lang w:val="zh-CN"/>
        </w:rPr>
      </w:pPr>
      <w:r>
        <w:rPr>
          <w:rFonts w:hint="eastAsia" w:ascii="宋体" w:hAnsi="宋体" w:eastAsia="宋体" w:cs="宋体"/>
          <w:b/>
          <w:bCs/>
          <w:color w:val="auto"/>
          <w:sz w:val="32"/>
          <w:szCs w:val="32"/>
          <w:lang w:val="en-US" w:eastAsia="zh-CN"/>
        </w:rPr>
        <w:t xml:space="preserve">第五章 </w:t>
      </w:r>
      <w:r>
        <w:rPr>
          <w:rFonts w:hint="eastAsia" w:ascii="宋体" w:hAnsi="宋体" w:eastAsia="宋体" w:cs="宋体"/>
          <w:b/>
          <w:bCs/>
          <w:color w:val="auto"/>
          <w:sz w:val="32"/>
          <w:szCs w:val="32"/>
        </w:rPr>
        <w:t xml:space="preserve">项目</w:t>
      </w:r>
      <w:r>
        <w:rPr>
          <w:rFonts w:hint="eastAsia" w:ascii="宋体" w:hAnsi="宋体" w:eastAsia="宋体" w:cs="宋体"/>
          <w:b/>
          <w:color w:val="auto"/>
          <w:sz w:val="32"/>
          <w:szCs w:val="32"/>
        </w:rPr>
        <w:t xml:space="preserve">采购需求</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一、概述</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1.1、建设背景及概况</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本次采购项目是基于对城区主要道路涉及交通参与者的安全出行行为及管控，进一步规  范及优化城区交通通行环境，提高出行通畅率，进一步压降各类交通事故，尤其对事故频发、 高发路段采取物理隔离、标牌告示、智能抓拍多维管控方式，从而有效降低我县整体交通事故发生率，还市民一个良好的安全出行环境。</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互联网+”时代，随着交通管理智能化、科技化建设的不断推进，交通科技设施、软件平台逐步健全，系统构成庞杂、功能类型多样，智能交通工作重心逐步由“建”向“管”转变，交通“运管维”工作面临巨大挑战。</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2020年，</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部交管局印发《</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交通管理科技发展规划(2021-2023年)》，明确要求建成运维管理系统，实现信息系统运行监测、故障处置流程管理、常见问题检索、运维质量评估等功能，同时要求强化路面监控设备运行维护，实现监控设备的全生命周期管理。2020年-2021年，</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部交管局陆续发布《视频专网集成指挥平台建设技术方案》（征求意见稿）和《视频专网集成指挥平台建设技术方案》（讨论稿），文件提出了视频专网集成指挥平台7大基础功能建设要求，其中一大功能是</w:t>
      </w:r>
      <w:r>
        <w:rPr>
          <w:rFonts w:hint="eastAsia" w:ascii="宋体" w:hAnsi="宋体" w:eastAsia="宋体" w:cs="宋体"/>
          <w:sz w:val="24"/>
          <w:szCs w:val="24"/>
          <w:lang w:eastAsia="zh-CN"/>
        </w:rPr>
        <w:t xml:space="preserve">设备运维管理功能。功能包括设备管理、运行监测、故障维护、运行态势、考核评价，对道路交通监控设备、运行环境及应用服务进行规范化、精细化、智能化的运行维护管理，旨在提高视频专网集成指挥平台和道路交通监控设备的运维能力。</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障信息系统及设备的正常稳定运行，各职能部门构建了运维监控平台，实现对设备运行状态的管理监控。但随着信息化建设持续发展，各类设备种类和数量日趋庞大，各地普遍面临前端品牌多、信息化系统多，运维单位多，难管理的痛点。在此背景下，针对信息化生态体系中的前后端设备、数据和应用软件构建智能化、自动化的诊断运维管理机制，显得十分迫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当前，在“以人为本”的人居背景下，让所有交通参与者遵循基于“大交通”意识下的交通规则，运用科技手段辅助交通，有效保障城区道路通畅，向狭窄道路要顺畅、事故易发路段要安全、向科技装备要警力，最终能通过强有力的管控措施综合提高城市交通管理水平，为我县综合整治交通环境提供保证。</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前期摸排调研、现场实地勘探、综合论证，本次拟从市民出行安全管控、机动车违章管控、城区道路畅通管控、城市交安设施规范设置管控等方面进行综合治理，力求通过以上的管控行为，能有效保证市民出行安全、降低交通事故发生率，保障出行环境良好有序。</w:t>
      </w:r>
      <w:r/>
    </w:p>
    <w:p>
      <w:pPr>
        <w:pStyle w:val="847"/>
        <w:ind w:left="0" w:firstLine="480"/>
        <w:rPr>
          <w:rFonts w:hint="eastAsia"/>
          <w:color w:val="auto"/>
          <w:lang w:eastAsia="zh-CN"/>
        </w:rPr>
      </w:pPr>
      <w:r>
        <w:rPr>
          <w:rFonts w:hint="eastAsia"/>
          <w:color w:val="auto"/>
          <w:highlight w:val="none"/>
          <w:lang w:eastAsia="zh-CN"/>
        </w:rPr>
        <w:t xml:space="preserve">金湖县2025年增补城区交安设施项目主要</w:t>
      </w:r>
      <w:r>
        <w:rPr>
          <w:rFonts w:hint="eastAsia"/>
          <w:color w:val="auto"/>
          <w:highlight w:val="none"/>
          <w:lang w:val="en-US" w:eastAsia="zh-CN"/>
        </w:rPr>
        <w:t xml:space="preserve">内容为对部分路口新增信号灯与监控系统、单点自适应系统、</w:t>
      </w:r>
      <w:r>
        <w:rPr>
          <w:rFonts w:hint="eastAsia" w:ascii="宋体" w:hAnsi="宋体" w:eastAsia="宋体" w:cs="宋体"/>
          <w:i w:val="0"/>
          <w:iCs w:val="0"/>
          <w:color w:val="auto"/>
          <w:sz w:val="24"/>
          <w:szCs w:val="24"/>
          <w:highlight w:val="none"/>
          <w:u w:val="none"/>
          <w:lang w:val="en-US" w:eastAsia="zh-CN" w:bidi="ar"/>
        </w:rPr>
        <w:t xml:space="preserve">行人过街系统</w:t>
      </w:r>
      <w:r>
        <w:rPr>
          <w:rFonts w:hint="eastAsia" w:ascii="宋体" w:hAnsi="宋体" w:cs="宋体"/>
          <w:i w:val="0"/>
          <w:iCs w:val="0"/>
          <w:color w:val="auto"/>
          <w:sz w:val="24"/>
          <w:szCs w:val="24"/>
          <w:highlight w:val="none"/>
          <w:u w:val="none"/>
          <w:lang w:val="en-US" w:eastAsia="zh-CN" w:bidi="ar"/>
        </w:rPr>
        <w:t xml:space="preserve">等</w:t>
      </w:r>
      <w:r>
        <w:rPr>
          <w:rFonts w:hint="eastAsia"/>
          <w:color w:val="auto"/>
          <w:highlight w:val="none"/>
          <w:lang w:eastAsia="zh-CN"/>
        </w:rPr>
        <w:t xml:space="preserve">智能交通管控设施</w:t>
      </w:r>
      <w:r>
        <w:rPr>
          <w:rFonts w:hint="eastAsia" w:ascii="宋体" w:hAnsi="宋体" w:cs="宋体"/>
          <w:i w:val="0"/>
          <w:iCs w:val="0"/>
          <w:color w:val="auto"/>
          <w:sz w:val="24"/>
          <w:szCs w:val="24"/>
          <w:highlight w:val="none"/>
          <w:u w:val="none"/>
          <w:lang w:val="en-US" w:eastAsia="zh-CN" w:bidi="ar"/>
        </w:rPr>
        <w:t xml:space="preserve">，</w:t>
      </w:r>
      <w:r>
        <w:rPr>
          <w:rFonts w:hint="eastAsia"/>
          <w:color w:val="auto"/>
          <w:highlight w:val="none"/>
          <w:lang w:eastAsia="zh-CN"/>
        </w:rPr>
        <w:t xml:space="preserve">另对城区</w:t>
      </w:r>
      <w:r>
        <w:rPr>
          <w:rFonts w:hint="eastAsia"/>
          <w:color w:val="auto"/>
          <w:highlight w:val="none"/>
          <w:lang w:val="en-US" w:eastAsia="zh-CN"/>
        </w:rPr>
        <w:t xml:space="preserve">部分路段新增中央隔离设施、机非隔离设施及相关配套标志标线，同时对城区范围部分标线磨损的位置标线出新</w:t>
      </w:r>
      <w:r>
        <w:rPr>
          <w:rFonts w:hint="eastAsia"/>
          <w:color w:val="auto"/>
          <w:highlight w:val="none"/>
          <w:lang w:eastAsia="zh-CN"/>
        </w:rPr>
        <w:t xml:space="preserve">。具体如下：</w:t>
      </w:r>
      <w:r/>
    </w:p>
    <w:tbl>
      <w:tblPr>
        <w:tblStyle w:val="81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1"/>
        <w:gridCol w:w="2946"/>
        <w:gridCol w:w="722"/>
        <w:gridCol w:w="819"/>
        <w:gridCol w:w="4935"/>
      </w:tblGrid>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类别</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新建信号灯与监控系统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健康路与理士大道、上湾路与衡阳路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单点自适应系统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建设路与园林路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行人过街系统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北兴路与金荷路、园林路长乐路路口</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信号灯故障智能检测系统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金湖县文明城市智慧交通管理平台系统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模块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非机动车逆行、走机动车道等2个违法行为抓拍模块</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电子哨兵系统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金湖路与金荷路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无人机方舱</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高速路口、西偏泓路口、荷花大道路口、420与247路口</w:t>
            </w:r>
            <w:r/>
          </w:p>
        </w:tc>
      </w:tr>
      <w:tr>
        <w:trPr>
          <w:trHeight w:val="142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行人和非机动车电子劝导员及非机动车闯红灯路口</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金湖西路与247省道、神华大道与247省道、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工园路与247省道、建设西路与247省道、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金湖东路与344国道、东阳路与344国道、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利农路与344国道、人民南路与344国道、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同泰大道与344国道、金湖路与东阳路</w:t>
            </w:r>
            <w:r/>
          </w:p>
        </w:tc>
      </w:tr>
      <w:tr>
        <w:trPr>
          <w:trHeight w:val="142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声光电定向声波系统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金湖西路与247省道、神华大道与247省道、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工园路与247省道、淮河西路与247省道、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金湖东路与344国道、东阳路与344国道、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利农路与344国道、人民南路与344国道、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同泰大道与344国道、新港路与东阳路</w:t>
            </w:r>
            <w:r/>
          </w:p>
        </w:tc>
      </w:tr>
      <w:tr>
        <w:trPr>
          <w:trHeight w:val="178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可变倒计时显示屏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u w:val="none"/>
                <w:lang w:val="en-US" w:eastAsia="zh-CN" w:bidi="ar"/>
              </w:rPr>
              <w:t xml:space="preserve">LED 显示屏）</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建设路与园林路、建设路与衡阳路、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建设路与华海路、神华大道与衡阳路、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神华大道与人民路、神华大道与园林路、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金湖路与人民路、金湖路与园林路、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金湖路与衡阳路、健康路与园林路、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健康路与人民路、健康路与衡阳路</w:t>
            </w:r>
            <w:r/>
          </w:p>
        </w:tc>
      </w:tr>
      <w:tr>
        <w:trPr>
          <w:trHeight w:val="103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新增机非隔离设施</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新港路（大佛寺桥至彩虹桥路段）、理士大道（工园路至神华大道路段）、工园路（同泰大道至八四大道路段） </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新增中央隔离设施</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金湖路（衡阳路至环城西路路段）</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新增行人过街预警系统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新港路（大佛寺桥至彩虹桥路段）</w:t>
            </w:r>
            <w:r>
              <w:rPr>
                <w:rFonts w:hint="eastAsia" w:ascii="宋体" w:hAnsi="宋体" w:cs="宋体"/>
                <w:i w:val="0"/>
                <w:iCs w:val="0"/>
                <w:color w:val="auto"/>
                <w:sz w:val="24"/>
                <w:szCs w:val="24"/>
                <w:u w:val="none"/>
                <w:lang w:val="en-US" w:eastAsia="zh-CN" w:bidi="ar"/>
              </w:rPr>
              <w:t xml:space="preserve">沿线人行过街路口</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隐患整治路口</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金湖县水利局门口</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其他路口路段标线</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11272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金湖路、同泰大道、神华大道等道路</w:t>
            </w:r>
            <w:r/>
          </w:p>
        </w:tc>
      </w:tr>
    </w:tbl>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对以上主要路段的合理规划，力求最大程度保障道路通畅，最大程度保障行人通行安全，从而提高通行效率及能力，根据金湖县政府、住建局、公安交警等部门的规划，要求对城区涉及安全路段进行合理设计，在确保行人及非机动车通行安全的情况下，确保机动车辆快速有序通行；</w:t>
      </w:r>
      <w:r>
        <w:rPr>
          <w:rFonts w:hint="eastAsia" w:ascii="宋体" w:hAnsi="宋体" w:eastAsia="宋体" w:cs="宋体"/>
          <w:sz w:val="24"/>
          <w:szCs w:val="24"/>
          <w:lang w:val="en-US" w:eastAsia="zh-CN"/>
        </w:rPr>
        <w:t xml:space="preserve">同时900万高清</w:t>
      </w:r>
      <w:r>
        <w:rPr>
          <w:rFonts w:hint="eastAsia" w:ascii="宋体" w:hAnsi="宋体" w:eastAsia="宋体" w:cs="宋体"/>
          <w:sz w:val="24"/>
          <w:szCs w:val="24"/>
          <w:lang w:eastAsia="zh-CN"/>
        </w:rPr>
        <w:t xml:space="preserve">电警系统、</w:t>
      </w:r>
      <w:r>
        <w:rPr>
          <w:rFonts w:hint="eastAsia" w:ascii="宋体" w:hAnsi="宋体" w:eastAsia="宋体" w:cs="宋体"/>
          <w:sz w:val="24"/>
          <w:szCs w:val="24"/>
          <w:lang w:val="en-US" w:eastAsia="zh-CN"/>
        </w:rPr>
        <w:t xml:space="preserve">900万高清环保生态</w:t>
      </w:r>
      <w:r>
        <w:rPr>
          <w:rFonts w:hint="eastAsia" w:ascii="宋体" w:hAnsi="宋体" w:eastAsia="宋体" w:cs="宋体"/>
          <w:sz w:val="24"/>
          <w:szCs w:val="24"/>
          <w:lang w:eastAsia="zh-CN"/>
        </w:rPr>
        <w:t xml:space="preserve">卡口抓拍系统、视频监控系统等数据无缝接入</w:t>
      </w:r>
      <w:r>
        <w:rPr>
          <w:rFonts w:hint="eastAsia" w:ascii="宋体" w:hAnsi="宋体" w:eastAsia="宋体" w:cs="宋体"/>
          <w:sz w:val="24"/>
          <w:szCs w:val="24"/>
          <w:lang w:val="en-US" w:eastAsia="zh-CN"/>
        </w:rPr>
        <w:t xml:space="preserve">县局</w:t>
      </w:r>
      <w:r>
        <w:rPr>
          <w:rFonts w:hint="eastAsia" w:ascii="宋体" w:hAnsi="宋体" w:eastAsia="宋体" w:cs="宋体"/>
          <w:sz w:val="24"/>
          <w:szCs w:val="24"/>
          <w:lang w:eastAsia="zh-CN"/>
        </w:rPr>
        <w:t xml:space="preserve">现有智能交通综合管控平台、视频图像专网、公安集成指挥平台</w:t>
      </w:r>
      <w:r>
        <w:rPr>
          <w:rFonts w:hint="eastAsia" w:ascii="宋体" w:hAnsi="宋体" w:eastAsia="宋体" w:cs="宋体"/>
          <w:sz w:val="24"/>
          <w:szCs w:val="24"/>
          <w:lang w:val="en-US" w:eastAsia="zh-CN"/>
        </w:rPr>
        <w:t xml:space="preserve">和尧感平台</w:t>
      </w:r>
      <w:r>
        <w:rPr>
          <w:rFonts w:hint="eastAsia" w:ascii="宋体" w:hAnsi="宋体" w:eastAsia="宋体" w:cs="宋体"/>
          <w:sz w:val="24"/>
          <w:szCs w:val="24"/>
          <w:lang w:eastAsia="zh-CN"/>
        </w:rPr>
        <w:t xml:space="preserve">，违停抓拍系统、礼让行人抓拍、右转必停礼让管控抓拍等接入交警部门相应平台，以上需要对现场进行详细勘探，了解道路交叉道口实际情况，合理设计，项目需征得项目指挥部、住建局、公安交警部门、市政道路及绿化部门的同意认可，严禁开挖主干道路、桥梁或明管明线施工，以确保建设后的系统无缝接入交警部门相应管控平台。</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高清电子警察系统及</w:t>
      </w:r>
      <w:r>
        <w:rPr>
          <w:rFonts w:hint="eastAsia" w:ascii="宋体" w:hAnsi="宋体" w:eastAsia="宋体" w:cs="宋体"/>
          <w:sz w:val="24"/>
          <w:szCs w:val="24"/>
          <w:lang w:val="en-US" w:eastAsia="zh-CN"/>
        </w:rPr>
        <w:t xml:space="preserve">高清生态环保</w:t>
      </w:r>
      <w:r>
        <w:rPr>
          <w:rFonts w:hint="eastAsia" w:ascii="宋体" w:hAnsi="宋体" w:eastAsia="宋体" w:cs="宋体"/>
          <w:sz w:val="24"/>
          <w:szCs w:val="24"/>
          <w:lang w:eastAsia="zh-CN"/>
        </w:rPr>
        <w:t xml:space="preserve">卡口抓拍系统，要求必须无缝接入交警大队机房服务器现有的智能交通综合管控平台及公安集成指挥平台，对应公安部新国标要求结合金湖交警部门管控需要，各类采集数据需接入交警部门数据机房指定云存储系统。针对高清电警系统，信号数据采集采用900万像素高清抓拍单元，前端补光灯要求采用暖光源设备，保证机动车驾乘人员过往不受灯光强烈照射影响；针对</w:t>
      </w:r>
      <w:r>
        <w:rPr>
          <w:rFonts w:hint="eastAsia" w:ascii="宋体" w:hAnsi="宋体" w:eastAsia="宋体" w:cs="宋体"/>
          <w:sz w:val="24"/>
          <w:szCs w:val="24"/>
          <w:lang w:val="en-US" w:eastAsia="zh-CN"/>
        </w:rPr>
        <w:t xml:space="preserve">高清生态环保</w:t>
      </w:r>
      <w:r>
        <w:rPr>
          <w:rFonts w:hint="eastAsia" w:ascii="宋体" w:hAnsi="宋体" w:eastAsia="宋体" w:cs="宋体"/>
          <w:sz w:val="24"/>
          <w:szCs w:val="24"/>
          <w:lang w:eastAsia="zh-CN"/>
        </w:rPr>
        <w:t xml:space="preserve">卡口抓拍系统，为响应省厅对公安设施补光装置整治新要求，要求信号数据采集采用900万像素生态环保高清抓拍单元，补光灯要求采用</w:t>
      </w:r>
      <w:r>
        <w:rPr>
          <w:rFonts w:hint="eastAsia" w:ascii="宋体" w:hAnsi="宋体" w:eastAsia="宋体" w:cs="宋体"/>
          <w:sz w:val="24"/>
          <w:szCs w:val="24"/>
          <w:lang w:val="en-US" w:eastAsia="zh-CN"/>
        </w:rPr>
        <w:t xml:space="preserve">多</w:t>
      </w:r>
      <w:r>
        <w:rPr>
          <w:rFonts w:hint="eastAsia" w:ascii="宋体" w:hAnsi="宋体" w:eastAsia="宋体" w:cs="宋体"/>
          <w:sz w:val="24"/>
          <w:szCs w:val="24"/>
          <w:lang w:eastAsia="zh-CN"/>
        </w:rPr>
        <w:t xml:space="preserve">合一补光设备，能支持 LED 灯频闪、白光爆闪，红外爆闪，能有效降低光污染，防止眩光，减少对周边环境的影响，不得影响驾驶员安全驾驶。</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高清监控系统，考虑到系统兼容性，要求无缝接入交警部门现有的高清监控系统管理平台，能对交叉道口监控盲区区域发生的事故及违章进行取证抓拍、对道口拥堵情况实时监看、根据拥堵程度合理进行信号配时优化等，能在信号中心平台电子地图上进行对应控制监控点位，进行调看现场实况。对</w:t>
      </w:r>
      <w:r>
        <w:rPr>
          <w:rFonts w:hint="eastAsia" w:ascii="宋体" w:hAnsi="宋体" w:eastAsia="宋体" w:cs="宋体"/>
          <w:sz w:val="24"/>
          <w:szCs w:val="24"/>
          <w:lang w:val="en-US" w:eastAsia="zh-CN"/>
        </w:rPr>
        <w:t xml:space="preserve">高清</w:t>
      </w:r>
      <w:r>
        <w:rPr>
          <w:rFonts w:hint="eastAsia" w:ascii="宋体" w:hAnsi="宋体" w:eastAsia="宋体" w:cs="宋体"/>
          <w:sz w:val="24"/>
          <w:szCs w:val="24"/>
          <w:lang w:eastAsia="zh-CN"/>
        </w:rPr>
        <w:t xml:space="preserve">智能</w:t>
      </w:r>
      <w:r>
        <w:rPr>
          <w:rFonts w:hint="eastAsia" w:ascii="宋体" w:hAnsi="宋体" w:eastAsia="宋体" w:cs="宋体"/>
          <w:sz w:val="24"/>
          <w:szCs w:val="24"/>
          <w:lang w:val="en-US" w:eastAsia="zh-CN"/>
        </w:rPr>
        <w:t xml:space="preserve">监控</w:t>
      </w:r>
      <w:r>
        <w:rPr>
          <w:rFonts w:hint="eastAsia" w:ascii="宋体" w:hAnsi="宋体" w:eastAsia="宋体" w:cs="宋体"/>
          <w:sz w:val="24"/>
          <w:szCs w:val="24"/>
          <w:lang w:eastAsia="zh-CN"/>
        </w:rPr>
        <w:t xml:space="preserve">球机选择上，要求能适应我县城区各交叉道口夜晚光线照度低的场景，能在低/超低照度环境下实现对该交叉道口中间区域进行无死角的监控及录像存储，要求能对交叉道口不低于2</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lang w:eastAsia="zh-CN"/>
        </w:rPr>
        <w:t xml:space="preserve">米范围内进行红外照射，满足像素不小于400W像素，不小于1/1.8靶面尺寸，不低于</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倍光学的照射变倍要求。根据当前公安交警部门对十字交叉道口综合管控的要求，既要求全景监控，又要求细节监控，要求通过设置一体式高清智能球机，内含不少于3个摄像镜头，其中2个作全景监控使用，对道路360度监控，1个作细节监控使用，支持不小于25倍光学变倍，内置不少于2个GPU芯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对于行人过街系统，</w:t>
      </w:r>
      <w:r>
        <w:rPr>
          <w:rFonts w:hint="eastAsia" w:ascii="宋体" w:hAnsi="宋体" w:eastAsia="宋体" w:cs="宋体"/>
          <w:sz w:val="24"/>
          <w:szCs w:val="24"/>
          <w:lang w:eastAsia="zh-CN"/>
        </w:rPr>
        <w:t xml:space="preserve">根据调研及安全管控需要，对金湖县城区范围内多所学校周边建立交通安全管控系统，通过精细化设计，既解决上下学高峰时段道路拥堵问题，又最大限度确保校园周边交通安全，通过科技手段加强校园周边出行安全管控，为学生上下学提供良好的出行安全条件。通过交警部门对城区主要学校附近路段机动车通行效率、拥堵程度、行人过街穿越道路频率等进行大数据</w:t>
      </w:r>
      <w:r>
        <w:rPr>
          <w:rFonts w:hint="eastAsia" w:ascii="宋体" w:hAnsi="宋体" w:cs="宋体"/>
          <w:sz w:val="24"/>
          <w:szCs w:val="24"/>
          <w:highlight w:val="none"/>
          <w:lang w:eastAsia="zh-CN"/>
        </w:rPr>
        <w:t xml:space="preserve">梳理</w:t>
      </w:r>
      <w:r>
        <w:rPr>
          <w:rFonts w:hint="eastAsia" w:ascii="宋体" w:hAnsi="宋体" w:eastAsia="宋体" w:cs="宋体"/>
          <w:sz w:val="24"/>
          <w:szCs w:val="24"/>
          <w:lang w:eastAsia="zh-CN"/>
        </w:rPr>
        <w:t xml:space="preserve">摸排，为优化通行</w:t>
      </w:r>
      <w:r>
        <w:rPr>
          <w:rFonts w:hint="eastAsia" w:ascii="宋体" w:hAnsi="宋体" w:eastAsia="宋体" w:cs="宋体"/>
          <w:sz w:val="24"/>
          <w:szCs w:val="24"/>
          <w:lang w:eastAsia="zh-CN"/>
        </w:rPr>
        <w:t xml:space="preserve">效率、保障学生、行人安全系数，在城区主要学校出入口临近路段设置“申请式”行人过街信号系统，在交通繁忙车流量大、行人需要穿越马路的沿街路段进行设置，有效解决行人安全过街和车辆快速通过之间的通行矛盾，通过行人按下按钮来控制信号灯的变化，在保障行人过街安全的基础上，大幅提升车辆通行效率和交通秩序，也为交通拥堵提供最新的科技治理手段。本次拟在建设路四中路段、北兴路金荷路交叉路口规划建设“申请式”行人过街信号系统，辅之建设电警高清抓拍系统，通过设置以上系统，降低事故发生率、保障行人过街通行安全系数、提升道路通行效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时，根据当前智能交通的快速发展，LED发光技术及产品的普及，各类LED产品正逐步进入我们的日常生活，近年来我县已在县城主要出入口规划建设了多处LED显示屏情报发布系统，在城区红绿灯路口也规划建设了多处LED屏显示系统，本次拟计划</w:t>
      </w:r>
      <w:r>
        <w:rPr>
          <w:rFonts w:hint="eastAsia" w:ascii="宋体" w:hAnsi="宋体" w:eastAsia="宋体" w:cs="宋体"/>
          <w:sz w:val="24"/>
          <w:szCs w:val="24"/>
          <w:lang w:val="en-US" w:eastAsia="zh-CN"/>
        </w:rPr>
        <w:t xml:space="preserve">在1-2个路口</w:t>
      </w:r>
      <w:r>
        <w:rPr>
          <w:rFonts w:hint="eastAsia" w:ascii="宋体" w:hAnsi="宋体" w:eastAsia="宋体" w:cs="宋体"/>
          <w:sz w:val="24"/>
          <w:szCs w:val="24"/>
          <w:lang w:eastAsia="zh-CN"/>
        </w:rPr>
        <w:t xml:space="preserve">进行试点，采用小型LED显示屏方案，不占用地方，既能和红绿灯整合为一个系统，充当倒计时使用，又可以同步发布类似“礼让行人”、“文明创建 ”、“禁停禁鸣”、“遵纪守法”等宣传文明用语，LED屏发布内容呈现动态式变换，行人或机动车在等待红灯过程中，间接</w:t>
      </w:r>
      <w:r>
        <w:rPr>
          <w:rFonts w:hint="eastAsia" w:ascii="宋体" w:hAnsi="宋体" w:eastAsia="宋体" w:cs="宋体"/>
          <w:sz w:val="24"/>
          <w:szCs w:val="24"/>
          <w:lang w:val="en-US" w:eastAsia="zh-CN"/>
        </w:rPr>
        <w:t xml:space="preserve">地</w:t>
      </w:r>
      <w:r>
        <w:rPr>
          <w:rFonts w:hint="eastAsia" w:ascii="宋体" w:hAnsi="宋体" w:eastAsia="宋体" w:cs="宋体"/>
          <w:sz w:val="24"/>
          <w:szCs w:val="24"/>
          <w:lang w:eastAsia="zh-CN"/>
        </w:rPr>
        <w:t xml:space="preserve">进行</w:t>
      </w:r>
      <w:r>
        <w:rPr>
          <w:rFonts w:hint="eastAsia" w:ascii="宋体" w:hAnsi="宋体" w:eastAsia="宋体" w:cs="宋体"/>
          <w:sz w:val="24"/>
          <w:szCs w:val="24"/>
          <w:lang w:val="en-US" w:eastAsia="zh-CN"/>
        </w:rPr>
        <w:t xml:space="preserve">公共交通安全教育</w:t>
      </w:r>
      <w:r>
        <w:rPr>
          <w:rFonts w:hint="eastAsia" w:ascii="宋体" w:hAnsi="宋体" w:eastAsia="宋体" w:cs="宋体"/>
          <w:sz w:val="24"/>
          <w:szCs w:val="24"/>
          <w:lang w:eastAsia="zh-CN"/>
        </w:rPr>
        <w:t xml:space="preserve">，也避免了机动车驾乘人员在停车等待过程中玩手机现象，进而</w:t>
      </w:r>
      <w:r>
        <w:rPr>
          <w:rFonts w:hint="eastAsia" w:ascii="宋体" w:hAnsi="宋体" w:eastAsia="宋体" w:cs="宋体"/>
          <w:sz w:val="24"/>
          <w:szCs w:val="24"/>
          <w:lang w:val="en-US" w:eastAsia="zh-CN"/>
        </w:rPr>
        <w:t xml:space="preserve">降低</w:t>
      </w:r>
      <w:r>
        <w:rPr>
          <w:rFonts w:hint="eastAsia" w:ascii="宋体" w:hAnsi="宋体" w:eastAsia="宋体" w:cs="宋体"/>
          <w:sz w:val="24"/>
          <w:szCs w:val="24"/>
          <w:lang w:eastAsia="zh-CN"/>
        </w:rPr>
        <w:t xml:space="preserve">交通事故的发生。基于这样的考量，本次拟对新港路-园林路交叉路口东西方向、清河路-园林路交叉路口四个方向进行建设设点，要求LED显示屏采用P10像素，规格不低于960*960，作倒计时运行状态时呈现倒9秒模式，倒计时控制板采用通讯式结构。</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本次项目规划实施的智能交通管控系统进行相应配套的标线、标志牌，针对标线部分，采用热熔标线（特殊路段或路口采用彩色热熔标线），施划厚度需满足规范要求，原则上对本次所有划线工程量均不低于2年的免费质保期，两年内（非意外事件如下雪天气因铲雪车铲雪工作致使标线被铲坏、地表结合度不足例</w:t>
      </w:r>
      <w:r>
        <w:rPr>
          <w:rFonts w:hint="eastAsia" w:ascii="宋体" w:hAnsi="宋体" w:eastAsia="宋体" w:cs="宋体"/>
          <w:sz w:val="24"/>
          <w:szCs w:val="24"/>
          <w:lang w:eastAsia="zh-CN"/>
        </w:rPr>
        <w:t xml:space="preserve">如水泥路面等等除外）因自身施工工艺或施工质量因素发生大面积的脱落损坏、褪色暗淡等由施工单位负责免费重新修补施划；针对标志牌部分，本次项目涉及众多标志牌的加工制作安装，针对小面积（S&lt;3M*2M)的标志牌，制作工艺需满足并符合制作规范，原则上铝板厚度不低于2MM,反光膜采用高等级道路交通反光膜，质保期需不少于2年，安装抱箍必须采用热镀锌抱箍固定；针对较大面积的道路指示牌（（S≧3M*2M)指路牌），要求铝板厚度不低于3MM,反光膜质保期不少于2年，2年内如涉及标牌反光膜褪色不反光等一律由施工单位免费更换处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本次规划建设的众多抓拍监控点位均通过专线接入至交警部门数据机房，</w:t>
      </w:r>
      <w:r>
        <w:rPr>
          <w:rFonts w:hint="eastAsia" w:ascii="宋体" w:hAnsi="宋体" w:eastAsia="宋体" w:cs="宋体"/>
          <w:sz w:val="24"/>
          <w:szCs w:val="24"/>
          <w:lang w:val="en-US" w:eastAsia="zh-CN"/>
        </w:rPr>
        <w:t xml:space="preserve">所有设备需</w:t>
      </w:r>
      <w:r>
        <w:rPr>
          <w:rFonts w:hint="eastAsia" w:ascii="宋体" w:hAnsi="宋体" w:eastAsia="宋体" w:cs="宋体"/>
          <w:sz w:val="24"/>
          <w:szCs w:val="24"/>
          <w:lang w:eastAsia="zh-CN"/>
        </w:rPr>
        <w:t xml:space="preserve">连接入交警部门数据机房大型云存储中，纳入集中统一管控。</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规划建设系统采用高清化、智能化、网络化等技术，提供道路高清实时监控、违章抓拍、研判分析、车辆布控与报警、数据统计等贴合用户需求的完善功能。同时系统具备友好的接口，可与县交警部门智能交通综合管控平台实现对接，实现系统的“高清监控、实时抓拍、智能识别、联网整合、统一管理”。</w:t>
      </w:r>
      <w:r/>
    </w:p>
    <w:p>
      <w:pPr>
        <w:numPr>
          <w:ilvl w:val="0"/>
          <w:numId w:val="0"/>
        </w:numPr>
        <w:ind w:firstLine="480"/>
        <w:jc w:val="both"/>
        <w:keepLines w:val="0"/>
        <w:keepNext w:val="0"/>
        <w:pageBreakBefore w:val="0"/>
        <w:spacing w:line="360" w:lineRule="auto"/>
        <w:widowControl/>
        <w:rPr>
          <w:rFonts w:hint="eastAsia" w:ascii="宋体" w:hAnsi="宋体" w:eastAsia="宋体" w:cs="宋体"/>
          <w:b/>
          <w:sz w:val="24"/>
          <w:lang w:eastAsia="zh-CN"/>
        </w:rPr>
      </w:pPr>
      <w:r>
        <w:rPr>
          <w:rFonts w:hint="eastAsia" w:ascii="宋体" w:hAnsi="宋体" w:eastAsia="宋体" w:cs="宋体"/>
          <w:sz w:val="24"/>
          <w:szCs w:val="24"/>
          <w:lang w:eastAsia="zh-CN"/>
        </w:rPr>
        <w:t xml:space="preserve">当前，随着科技强警要求，尖端视频技术的飞跃发展，各地公安部门</w:t>
      </w:r>
      <w:r>
        <w:rPr>
          <w:rFonts w:hint="eastAsia" w:ascii="宋体" w:hAnsi="宋体" w:eastAsia="宋体" w:cs="宋体"/>
          <w:sz w:val="24"/>
          <w:szCs w:val="24"/>
          <w:lang w:eastAsia="zh-CN"/>
        </w:rPr>
        <w:t xml:space="preserve">对视频采集的要求越来越高，大数据技术、网络技术、物联网技术、云存储技术被逐渐应用到日常警务管理中，而县公安交警部门已建设的综合管控平台已远远不能满足当前管理要求，平台架构、系统接入设备数、数据库、存储、运维管理已不能适应当前最新管控形势，基于大数据、云视频、海量存储、图像资源的多部门共享及实战应用要求，在本次建设框架下，有效整合当前交警部门数据机房系统平台、Server、Oracle数据库、视频存储等各种资源，采用大数据、云存储、智能视频、大型数据库等最新技术进行升级，力求最大程度满足当前公安部门管控要求。</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1.2、总体目标</w:t>
      </w:r>
      <w:r/>
    </w:p>
    <w:p>
      <w:pPr>
        <w:numPr>
          <w:ilvl w:val="0"/>
          <w:numId w:val="0"/>
        </w:numPr>
        <w:ind w:firstLine="480"/>
        <w:jc w:val="both"/>
        <w:keepLines w:val="0"/>
        <w:keepNext w:val="0"/>
        <w:pageBreakBefore w:val="0"/>
        <w:spacing w:line="360" w:lineRule="auto"/>
        <w:widowControl/>
        <w:rPr>
          <w:rFonts w:hint="eastAsia" w:ascii="宋体" w:hAnsi="宋体" w:eastAsia="宋体" w:cs="宋体"/>
          <w:b/>
          <w:sz w:val="24"/>
          <w:lang w:eastAsia="zh-CN"/>
        </w:rPr>
      </w:pPr>
      <w:r>
        <w:rPr>
          <w:rFonts w:hint="eastAsia" w:ascii="宋体" w:hAnsi="宋体" w:eastAsia="宋体" w:cs="宋体"/>
          <w:sz w:val="24"/>
          <w:szCs w:val="24"/>
          <w:lang w:eastAsia="zh-CN"/>
        </w:rPr>
        <w:t xml:space="preserve">项目的建设应满足实际应用的需要，深化设计，融合智能可视化、深度学习、大数据、物联网等技术，以集约化信息设施为基础，为交警管理工作提供技术服务支撑，对违反管控的违章行为进行实时抓拍，通过规划建设本次项目，力求对本县辖区范围内的主要交叉道口及道路路段进行智能化建设，设置智能交通管控系统，最大程度保证道路、行人通行安全，为文明出行创造好的条件。</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1.3、设计原则</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项目整体解决方案的设计与实施，应以“兼容度、融合度、可持续发展”为基本原则：</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（1）兼容度</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高清智能抓拍单元在统一标准下与交警部门现有智能交通综合管控平台、公安集成指挥 平台、海燕平台、违停抓拍平台之间的兼容互通。</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（2）融合度</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高清智能抓拍单元、先进的软件应用平台、合理规划的基础设施与综合管控平台相融合。</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（3）可持续发展</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根据技术水平发展提供可升级、可拓展、可推广复制的模块化设计方案。</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1.4、设计依据</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项目建设依据国家相关法律规章、国家和行业相关标准、相关研究成果等资料进行规划设计，具体如下：</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（1）《道路交通信号灯设置与安装规范》（GB14886-2016）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（2）《道路交通信号灯》（GB14887-2011）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（3）《道路交通信号灯国家标准第一号修改单》</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（4）《建筑物防雷设计规范》（GB50057-2010）</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（5）《电气装置安装工程 母线装置施工及验收规范》（GB50149-2010）</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（6）《道路交通信号控制机》（GB25280-2016）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（7）《道路交通信号控制机安装规范》（GA489-2016）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（8）《道路交通管理信息代码》（GA/T16.1~115）</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（9）《公安交通管理外场基础施工通用要求》（GA/T652-2017）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（10）《民用建筑电气设计标准》（GB 51348-2019）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（11）《闯红灯自动记录系统通用技术条件》（GA/T496-2014）</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（12）《道路车辆智能监测记录系统通用技术条件》（GAT497-2016）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（13）《道路交通安全违法行为图像取证技术规范》（GAT 832-2014）</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（14）《机动车号牌图像自动识别技术规范》（GA/T833－2016）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（15）《交通技术监控信息数据规范》（GA648-2006）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（16）《中华人民共和国机动车号牌》（GA36-2018）</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（17）《公路交通安全设施设计细则》（JTG/T D81—2017）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（18）《民用闭路监视电视系统工程技术规范》（JGB 50198-2011）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（19）《视频安防监控系统技术要求》（GA/T367-2001）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（20）《公路交通安全设施设计细则》（JTG/T D81-2017）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（21）《道路交通标志和标线第1部分：总则》（GB5768.1-2009）；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（22）《道路交通标志和标线第2部分：道路交通标志》（GB5768.2-2022）；</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（23）《道路交通标志和标线第3部分：道路交通标线》（GB5768.3-2009）；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（24）《城市道路交通标志和标线设置规范》（GB51038-2015）；</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（25）《城市道路交通设施设计规范》（2019年版）（GB50688-2011）；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（26）《淮安市城区道路交通设施设计导则》（2023.5）</w:t>
      </w:r>
      <w:r/>
    </w:p>
    <w:p>
      <w:pPr>
        <w:numPr>
          <w:ilvl w:val="0"/>
          <w:numId w:val="0"/>
        </w:numPr>
        <w:ind w:firstLine="476"/>
        <w:jc w:val="both"/>
        <w:keepLines w:val="0"/>
        <w:keepNext w:val="0"/>
        <w:pageBreakBefore w:val="0"/>
        <w:spacing w:line="360" w:lineRule="auto"/>
        <w:widowControl/>
        <w:rPr>
          <w:rFonts w:ascii="宋体" w:hAnsi="宋体" w:eastAsia="宋体" w:cs="宋体"/>
          <w:spacing w:val="-6"/>
          <w:sz w:val="24"/>
          <w:szCs w:val="24"/>
          <w:highlight w:val="none"/>
        </w:rPr>
      </w:pPr>
      <w:r>
        <w:rPr>
          <w:rFonts w:ascii="宋体" w:hAnsi="宋体" w:eastAsia="宋体" w:cs="宋体"/>
          <w:spacing w:val="-1"/>
          <w:sz w:val="24"/>
          <w:szCs w:val="24"/>
          <w:highlight w:val="none"/>
        </w:rPr>
        <w:t xml:space="preserve">（</w:t>
      </w:r>
      <w:r>
        <w:rPr>
          <w:rFonts w:hint="eastAsia" w:ascii="宋体" w:hAnsi="宋体" w:cs="宋体"/>
          <w:spacing w:val="-1"/>
          <w:sz w:val="24"/>
          <w:szCs w:val="24"/>
          <w:highlight w:val="none"/>
          <w:lang w:val="en-US" w:eastAsia="zh-CN"/>
        </w:rPr>
        <w:t xml:space="preserve">27</w:t>
      </w:r>
      <w:r>
        <w:rPr>
          <w:rFonts w:ascii="宋体" w:hAnsi="宋体" w:eastAsia="宋体" w:cs="宋体"/>
          <w:spacing w:val="-1"/>
          <w:sz w:val="24"/>
          <w:szCs w:val="24"/>
          <w:highlight w:val="none"/>
        </w:rPr>
        <w:t xml:space="preserve">）金湖县政府、县住建局、县公安局对本次规划的项目设置交通安全设施的具体要</w:t>
      </w:r>
      <w:r>
        <w:rPr>
          <w:rFonts w:ascii="宋体" w:hAnsi="宋体" w:eastAsia="宋体" w:cs="宋体"/>
          <w:spacing w:val="-6"/>
          <w:sz w:val="24"/>
          <w:szCs w:val="24"/>
          <w:highlight w:val="none"/>
        </w:rPr>
        <w:t xml:space="preserve">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此外，参照执行了公安部、建设部、</w:t>
      </w:r>
      <w:r>
        <w:rPr>
          <w:rFonts w:hint="eastAsia" w:ascii="宋体" w:hAnsi="宋体" w:cs="宋体"/>
          <w:sz w:val="24"/>
          <w:szCs w:val="24"/>
          <w:highlight w:val="none"/>
          <w:lang w:eastAsia="zh-CN"/>
        </w:rPr>
        <w:t xml:space="preserve">交通运输部</w:t>
      </w:r>
      <w:r>
        <w:rPr>
          <w:rFonts w:hint="eastAsia" w:ascii="宋体" w:hAnsi="宋体" w:eastAsia="宋体" w:cs="宋体"/>
          <w:sz w:val="24"/>
          <w:szCs w:val="24"/>
          <w:highlight w:val="none"/>
          <w:lang w:eastAsia="zh-CN"/>
        </w:rPr>
        <w:t xml:space="preserve">颁发</w:t>
      </w:r>
      <w:r>
        <w:rPr>
          <w:rFonts w:hint="eastAsia" w:ascii="宋体" w:hAnsi="宋体" w:cs="宋体"/>
          <w:sz w:val="24"/>
          <w:szCs w:val="24"/>
          <w:highlight w:val="none"/>
          <w:lang w:eastAsia="zh-CN"/>
        </w:rPr>
        <w:t xml:space="preserve">的其他有关</w:t>
      </w:r>
      <w:r>
        <w:rPr>
          <w:rFonts w:hint="eastAsia" w:ascii="宋体" w:hAnsi="宋体" w:eastAsia="宋体" w:cs="宋体"/>
          <w:sz w:val="24"/>
          <w:szCs w:val="24"/>
          <w:highlight w:val="none"/>
          <w:lang w:eastAsia="zh-CN"/>
        </w:rPr>
        <w:t xml:space="preserve">规范。施工时，如有新的规范、规程颁布实施，应按新的规范、规程执行。</w:t>
      </w:r>
      <w:r/>
    </w:p>
    <w:p>
      <w:pPr>
        <w:spacing w:line="360" w:lineRule="auto"/>
        <w:rPr>
          <w:rFonts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5</w:t>
      </w:r>
      <w:r>
        <w:rPr>
          <w:rFonts w:hint="eastAsia" w:ascii="宋体" w:hAnsi="宋体" w:eastAsia="宋体" w:cs="宋体"/>
          <w:b/>
          <w:sz w:val="24"/>
        </w:rPr>
        <w:t xml:space="preserve">、项目建设整体要求</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1、本次中标供货方负责整个项目的总集成。实现对已建和新建系统（包括供电接电、前端设备、数据链路传输、机房网络汇聚及网络规划配置、数据云存储、综合管控平台、数据库等）的无缝对接整合，涉及与公安交警新数据机房已建设的各类管控平台、公安集成指挥平台、违停抓拍系统平台等进行无缝对接，对智能交通综合管控平台、后端数据库服务器、云存储系统等进行扩容和升级，满足大数据云存储的存储需求，以确保系统始终保持在最优工作状态，必须保证本次系统建设设备的无缝接入。</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.2、本次中标供货方应承诺已充分了解招标文件及相应点位现场情况，已充分了解本次招标的项目建设所有需求及工程量，并负责系统供电接电、前端设备到后端公安交警新机房的所有网络链路、</w:t>
      </w:r>
      <w:r>
        <w:rPr>
          <w:rFonts w:hint="eastAsia" w:ascii="宋体" w:hAnsi="宋体" w:eastAsia="宋体" w:cs="宋体"/>
          <w:sz w:val="24"/>
          <w:szCs w:val="24"/>
          <w:lang w:val="en-US" w:eastAsia="zh-CN"/>
        </w:rPr>
        <w:t xml:space="preserve">相关平台的对接</w:t>
      </w:r>
      <w:r>
        <w:rPr>
          <w:rFonts w:hint="eastAsia" w:ascii="宋体" w:hAnsi="宋体" w:eastAsia="宋体" w:cs="宋体"/>
          <w:sz w:val="24"/>
          <w:szCs w:val="24"/>
          <w:lang w:eastAsia="zh-CN"/>
        </w:rPr>
        <w:t xml:space="preserve">；对本次建设的系统及配套服务、已建设平台（系统）运行方式及模式、机房内对所有前端IP点位进行汇聚网络构建、数据库等已做了充分的风险评估，能够满足本次项目建设的所有需求及功能，建设单位在本项目建设周期内将不再另行采购或追加项目变更，项目中涉及到的所有设备及服务均应全部包含在本次投标报价中，因投标人原因造成清单遗漏或认知偏差的，由其自行承担，由此造成项目进度停滞、耽误整体交工工期或其他不良后果，给建设单位带来损失的，建设单位有权对中标人进行追责并处罚。</w:t>
      </w:r>
      <w:r/>
    </w:p>
    <w:p>
      <w:pPr>
        <w:ind w:firstLine="500"/>
        <w:spacing w:line="360" w:lineRule="auto"/>
        <w:widowControl w:val="off"/>
        <w:rPr>
          <w:rFonts w:ascii="宋体" w:hAnsi="宋体" w:eastAsia="宋体" w:cs="宋体"/>
          <w:b/>
          <w:lang w:eastAsia="zh-CN"/>
        </w:rPr>
      </w:pPr>
      <w:r>
        <w:rPr>
          <w:rFonts w:hint="eastAsia" w:ascii="宋体" w:hAnsi="宋体" w:eastAsia="宋体" w:cs="宋体"/>
          <w:b/>
          <w:bCs/>
          <w:sz w:val="24"/>
          <w:highlight w:val="none"/>
          <w:lang w:eastAsia="zh-CN"/>
        </w:rPr>
        <w:t xml:space="preserve">★</w:t>
      </w:r>
      <w:r>
        <w:rPr>
          <w:rFonts w:hint="eastAsia" w:ascii="宋体" w:hAnsi="宋体" w:eastAsia="宋体" w:cs="宋体"/>
          <w:color w:val="auto"/>
          <w:sz w:val="24"/>
          <w:lang w:eastAsia="zh-CN"/>
        </w:rPr>
        <w:t xml:space="preserve">1.</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3本次规划建设的交通出行安全管控系统涉及交通信号智能控制、高清电警抓拍以及“申请式”行人过街智能信号控制等多个智能交通类控制系统，前端视频信号及抓拍数据均需无缝接入公安局数据机房相应综合管控平台纳入统一集中管理，前端数据均实时存储，接入公安局数据云存储系统，以满足公安部门日常查询及管控要求；交通信号无缝接入交警信号中心平台，实现全县交通信号联网绿波带综合管理。</w:t>
      </w:r>
      <w:r>
        <w:rPr>
          <w:rFonts w:hint="eastAsia" w:ascii="宋体" w:hAnsi="宋体" w:eastAsia="宋体" w:cs="宋体"/>
          <w:b/>
          <w:color w:val="auto"/>
          <w:lang w:eastAsia="zh-CN"/>
        </w:rPr>
        <w:t xml:space="preserve">（</w:t>
      </w:r>
      <w:r>
        <w:rPr>
          <w:rFonts w:hint="eastAsia" w:ascii="宋体" w:hAnsi="宋体" w:eastAsia="宋体" w:cs="宋体"/>
          <w:b/>
          <w:color w:val="auto"/>
          <w:sz w:val="24"/>
          <w:lang w:eastAsia="zh-CN"/>
        </w:rPr>
        <w:t xml:space="preserve">要求提供符合无缝对接专项承诺函的原件扫描件加盖公章上传，提供的专项承诺函内容模糊不清导致无法辨别的，按未提供以无效标处理；格式自拟）</w:t>
      </w:r>
      <w:r/>
    </w:p>
    <w:p>
      <w:pPr>
        <w:ind w:firstLine="482"/>
        <w:spacing w:line="360" w:lineRule="auto"/>
        <w:rPr>
          <w:rFonts w:ascii="宋体" w:hAnsi="宋体" w:eastAsia="宋体" w:cs="宋体"/>
          <w:b/>
          <w:bCs/>
          <w:sz w:val="24"/>
          <w:lang w:eastAsia="zh-CN"/>
        </w:rPr>
      </w:pPr>
      <w:r>
        <w:rPr>
          <w:rFonts w:hint="eastAsia" w:ascii="宋体" w:hAnsi="宋体" w:eastAsia="宋体" w:cs="宋体"/>
          <w:b/>
          <w:bCs/>
          <w:sz w:val="24"/>
          <w:lang w:eastAsia="zh-CN"/>
        </w:rPr>
        <w:t xml:space="preserve">1.</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.4、投标人需对本次项目标注“★”号参数响应和完全满足，允许正偏离，有一项不满足负偏离作无效标处理。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.5、本次项目的接口接入及升级问题：</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本次建设</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lang w:eastAsia="zh-CN"/>
        </w:rPr>
        <w:t xml:space="preserve">负责整个项目的总集成，实现对上述建设内容的前、后端全部软硬件建设及安装调试工作，涉及供电接电、前端基础设施及主要设备安装、数据链路传输以及前端各类信号与机房各类公安管控平台的无缝接入，以确保系统保持最优化工作状态。</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、供电接电问题</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由中标供货商负责实施各建设点位的供电接电问题，需严格按照供电部门供电接电规范及实施要求，负责现场勘探并提供相应的设计图纸，完成从供电部门（市政亮化管理部门）上游接电配电箱至本次建设点位控制箱内总控开关之间的电路连接，并保证对接电供电系统进行二年期的免费维护，供电接电所涉及的供电接电设计图纸、管沟开挖深度、管道规格、电缆规格、漏电保护以及隐蔽工程等均需得到供电管理部门的验收签字盖章认可，并作为系统竣工验收移交交警部门的一部分，否则由其承担所引起的一切质量问题及后果。</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、网络链路连接及数据传输部分</w:t>
      </w:r>
      <w:r/>
    </w:p>
    <w:p>
      <w:pPr>
        <w:numPr>
          <w:ilvl w:val="0"/>
          <w:numId w:val="0"/>
        </w:numPr>
        <w:ind w:firstLine="480"/>
        <w:jc w:val="both"/>
        <w:keepLines w:val="0"/>
        <w:keepNext w:val="0"/>
        <w:pageBreakBefore w:val="0"/>
        <w:spacing w:line="360" w:lineRule="auto"/>
        <w:widowControl/>
        <w:rPr>
          <w:rFonts w:hint="eastAsia" w:ascii="宋体" w:hAnsi="宋体" w:eastAsia="宋体" w:cs="宋体"/>
          <w:b/>
          <w:color w:val="auto"/>
          <w:sz w:val="24"/>
          <w:szCs w:val="21"/>
          <w:lang w:val="en-US" w:eastAsia="zh-CN" w:bidi="ar-SA"/>
        </w:rPr>
      </w:pPr>
      <w:r>
        <w:rPr>
          <w:rFonts w:hint="eastAsia" w:ascii="宋体" w:hAnsi="宋体" w:eastAsia="宋体" w:cs="宋体"/>
          <w:sz w:val="24"/>
          <w:szCs w:val="24"/>
          <w:lang w:val="en-US" w:eastAsia="zh-CN"/>
        </w:rPr>
        <w:t xml:space="preserve">为确保本次项目的顺利实施及整体工程进度交工要求，要求供货商作出具体承诺：明确 对项目涉及的所有建设点位已具体勘探，已充分了解建设单位需求及项目具体要求，如若中 标，承诺在签订合同前向采购方提供由项目所在地网络链路运营商出具的“具有公安交警网络链路解决经验、能提供各建设点位至公安交警部门数据机房专用网络传</w:t>
      </w:r>
      <w:r>
        <w:rPr>
          <w:rFonts w:hint="eastAsia" w:ascii="宋体" w:hAnsi="宋体" w:eastAsia="宋体" w:cs="宋体"/>
          <w:color w:val="000000"/>
          <w:sz w:val="24"/>
          <w:szCs w:val="24"/>
          <w:lang w:val="en-US" w:eastAsia="zh-CN" w:bidi="ar-SA"/>
        </w:rPr>
        <w:t xml:space="preserve">输链路、能无缝接入公安交警部门专用数据汇聚网络、能提供快捷网络链路服务” 的书面盖章承诺函原件。</w:t>
      </w:r>
      <w:r>
        <w:rPr>
          <w:rFonts w:hint="eastAsia" w:ascii="宋体" w:hAnsi="宋体" w:eastAsia="宋体" w:cs="宋体"/>
          <w:b/>
          <w:color w:val="auto"/>
          <w:sz w:val="24"/>
          <w:szCs w:val="21"/>
          <w:lang w:val="en-US" w:eastAsia="zh-CN" w:bidi="ar-SA"/>
        </w:rPr>
        <w:t xml:space="preserve">（提供承诺函加盖公章，格式自拟）</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、供货</w:t>
      </w:r>
      <w:r>
        <w:rPr>
          <w:rFonts w:hint="eastAsia" w:ascii="宋体" w:hAnsi="宋体" w:eastAsia="宋体" w:cs="宋体"/>
          <w:sz w:val="24"/>
          <w:lang w:eastAsia="zh-CN"/>
        </w:rPr>
        <w:t xml:space="preserve">商在本次投标中采用的设备或产品所涉及所有技术、商务文件（含标注“★” 中所要求的各类证明资料），签订合同前，均需提交相关证明原件以及相关资质类、证件类  可供查询的官网截图证明；满足招标文件要求的检测报告、售后及质保函原件及投标文件供招标人审核，如所提供的各类证明类原件、检测报告、投标文件与招标文件相应要求不符，或投标人无法提供原厂出具的售后及质保函原件、检测报告原厂盖章件、运营商链路连接接 入盖章承诺函原件的将承担因此给招标人造成的一切损失；因中标人弄虚作假谋取中标所产生的后果责任自负，提交监管部门处理。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为配合本次项目整体交工进度要求，针对本次建设项目，要求中标方严格响应建设工期要求，在项目指挥部要求的工期内保质保量完成系统建设并交付验收，造成拖延工期或因无法接入县公安交警部门数据机房导致无法通过验收的，进而影响整个项目的交工验收的，由中标方承担相关责任。</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施工及安装需要提前和市政道路管理部门、绿化管理部门进行协调，办理相关手续【如因向道路管理部门办理相关手续（如非开挖顶管过路施工），所涉及费用由建设单位承担】，安装调试时严格执行道路及绿化管理部门的要求及管理规范，涉及附属管道施工时，需得到道路管理部门的许可后实施，且安装后恢复原样。</w:t>
      </w:r>
      <w:r/>
    </w:p>
    <w:p>
      <w:pPr>
        <w:pStyle w:val="1100"/>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1.5.11、本次项目不集中组织现场勘探，各潜在投标人须自行对本次项目所涉及的所有建设点位进行实地勘探，了解项目建设点位的施工环境，评估施工所涉及的各类施工准入许可、各类涉及施工的审批手续办理、地下管线管网的分布走向及施工可能带来的破坏赔偿、市政道路及绿化的破坏及恢复、供电接电手续办理、接入及附属管道施工等存在的风险因素及可能影响投标报价，需实地勘探现场后合理综合计价，因未进行现场勘探所造成的各种损失、风险、报价遗漏缺项等等均由各潜在投标人自行承担，招标人不承担任何责任。</w:t>
      </w:r>
      <w:r/>
    </w:p>
    <w:p>
      <w:pPr>
        <w:ind w:firstLine="482"/>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eastAsia="宋体" w:cs="宋体"/>
          <w:b/>
          <w:sz w:val="24"/>
          <w:lang w:val="en-US" w:eastAsia="zh-CN"/>
        </w:rPr>
        <w:t xml:space="preserve">6</w:t>
      </w:r>
      <w:r>
        <w:rPr>
          <w:rFonts w:hint="eastAsia" w:ascii="宋体" w:hAnsi="宋体" w:eastAsia="宋体" w:cs="宋体"/>
          <w:b/>
          <w:sz w:val="24"/>
          <w:lang w:eastAsia="zh-CN"/>
        </w:rPr>
        <w:t xml:space="preserve">、建设内容</w:t>
      </w:r>
      <w:r/>
    </w:p>
    <w:tbl>
      <w:tblPr>
        <w:tblStyle w:val="817"/>
        <w:tblpPr w:horzAnchor="page" w:tblpX="1070" w:vertAnchor="text" w:tblpY="471" w:leftFromText="180" w:topFromText="0" w:rightFromText="180" w:bottomFromText="0"/>
        <w:tblW w:w="10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3182"/>
        <w:gridCol w:w="3520"/>
        <w:gridCol w:w="800"/>
        <w:gridCol w:w="900"/>
        <w:gridCol w:w="1098"/>
      </w:tblGrid>
      <w:tr>
        <w:trPr>
          <w:trHeight w:val="697"/>
        </w:trPr>
        <w:tc>
          <w:tcPr>
            <w:tcW w:w="76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318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5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主要规格参数</w:t>
            </w:r>
            <w:r/>
          </w:p>
        </w:tc>
        <w:tc>
          <w:tcPr>
            <w:tcW w:w="8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W w:w="9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 </w:t>
            </w:r>
            <w:r/>
          </w:p>
        </w:tc>
        <w:tc>
          <w:tcPr>
            <w:tcW w:w="1098"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gridSpan w:val="5"/>
            <w:tcW w:w="9500"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工程数量汇总表</w:t>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重复显示器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可变倒计时显示屏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000000"/>
                <w:sz w:val="24"/>
                <w:szCs w:val="24"/>
                <w:highlight w:val="none"/>
                <w:u w:val="none"/>
                <w:lang w:val="en-US" w:eastAsia="zh-CN" w:bidi="ar"/>
              </w:rPr>
              <w:t xml:space="preserve">LED 显示屏)</w:t>
            </w:r>
            <w:r/>
          </w:p>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p>
        </w:tc>
        <w:tc>
          <w:tcPr>
            <w:tcW w:w="352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网络服务器</w:t>
            </w:r>
            <w:r/>
          </w:p>
        </w:tc>
        <w:tc>
          <w:tcPr>
            <w:tcW w:w="352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数据智能云存储服务器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靠右行驶标志D600</w:t>
            </w:r>
            <w:r/>
          </w:p>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机非分隔标志2*D600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098" w:type="dxa"/>
            <w:vAlign w:val="center"/>
            <w:textDirection w:val="lrTb"/>
            <w:noWrap w:val="false"/>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w:t>
            </w:r>
            <w:r/>
          </w:p>
        </w:tc>
        <w:tc>
          <w:tcPr>
            <w:tcW w:w="3182"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接地装置</w:t>
            </w:r>
            <w:r/>
          </w:p>
        </w:tc>
        <w:tc>
          <w:tcPr>
            <w:tcW w:w="352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接地极 镀锌角钢L50x50x5，L=2500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镀锌扁钢40x4</w:t>
            </w:r>
            <w:r/>
          </w:p>
          <w:p>
            <w:pPr>
              <w:jc w:val="both"/>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接地引线镀锌扁钢50x5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接线端子200x50x5铜条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新增礼让行人标线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其他路口路段标线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11272</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机非隔离栏杆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5483</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中央隔离栏杆(一般段)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中央隔离栏杆(降低段)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防撞筒（墩）</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钢防撞护栏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型钢、C30砼70.2立方米、模板、钢筋16钢筋12 、6628.4+4985.8+1328.8千克等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468</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警示柱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道口标柱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轮廓标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w:t>
            </w:r>
            <w:r/>
          </w:p>
        </w:tc>
        <w:tc>
          <w:tcPr>
            <w:tcW w:w="3520"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900" w:type="dxa"/>
            <w:vAlign w:val="center"/>
            <w:textDirection w:val="lrTb"/>
            <w:noWrap w:val="false"/>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1098"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52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二</w:t>
            </w:r>
            <w:r/>
          </w:p>
        </w:tc>
        <w:tc>
          <w:tcPr>
            <w:gridSpan w:val="5"/>
            <w:tcW w:w="9500"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新建信号灯与监控系统工程数量表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6m机动车信号灯基础（开挖、回填、碎石、C30砼、钢筋、模板、杆件、基础笼等），杆件利用原有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左转灯组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满屏灯组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600*800型通讯式信号倒计时器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设备控制机箱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信号灯控制电缆及敷设(m)</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RVV-12×1.0mm2,按实计量</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信号灯灯头电缆及敷设(m)</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RVV-4×1.0mm2,按实计量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含1根φ75PE管,按实计量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顶管施工(含过路4根φ75PE管)(m)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highlight w:val="none"/>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回填参照管沟深度地面道路管道埋设图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水泥路面恢复</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水泥路面内埋设管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35cmC25水泥混凝土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高清智能监控球机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900万电警抓拍单元(核心产品)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900万高清生态环保卡口抓拍单元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LED频闪补光灯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多合一补光灯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工业级8口千兆交换机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收发器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工业级千兆光纤收发器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≥64G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RVV-3×1.0mm2,按实计量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 5*1.0mm2,按实计量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8芯室外光缆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8芯单模铠装室外光缆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所租用专线带宽须满足道口传输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需要及视频流访问需要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网络服务器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应用管理服务器(台)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“前方监控、交通违法”标志牌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“交通违法监控”标志牌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标志牌迁移按标志支架规格固定，其他工程接线端子排、漏电保护器无规定材质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标线施画、补施(m2)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小计（2）</w:t>
            </w:r>
            <w:r/>
          </w:p>
        </w:tc>
        <w:tc>
          <w:tcPr>
            <w:tcW w:w="352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098"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单点自适应系统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广域雷达微波检测器、安装配件包</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highlight w:val="yellow"/>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采用广域雷达跟踪和高清视频融合技术,一体化设计,可跟踪256个目标,检测目标的即时位置、即时速度、目标分类、实时排队长度、实时区域状态、多断面的交通流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、异常事件等高精度检测及视频可视化;视频像素500万,检测范围:8车道、350米远;同时支持正向或者侧向安装。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不锈钢支架,抱箍及稳压电源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各类设备的基础固定安装、通电通网、基本调试,以及相关安全保障,包括人工、材料、机具等综合费用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实现最多四台微波检测器和信号机的连接,支持一路RJ45网络输入,一路RS485输出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rPr>
                <w:rFonts w:hint="eastAsia" w:ascii="宋体" w:hAnsi="宋体" w:eastAsia="宋体" w:cs="宋体"/>
                <w:i w:val="0"/>
                <w:iCs w:val="0"/>
                <w:color w:val="000000"/>
                <w:sz w:val="24"/>
                <w:szCs w:val="24"/>
                <w:highlight w:val="yellow"/>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外形尺寸</w:t>
            </w:r>
            <w:r>
              <w:rPr>
                <w:rFonts w:hint="eastAsia" w:ascii="宋体" w:hAnsi="宋体" w:eastAsia="宋体" w:cs="宋体"/>
                <w:i w:val="0"/>
                <w:iCs w:val="0"/>
                <w:color w:val="000000"/>
                <w:sz w:val="24"/>
                <w:szCs w:val="24"/>
                <w:highlight w:val="none"/>
                <w:u w:val="none"/>
                <w:lang w:val="en-US" w:eastAsia="zh-CN" w:bidi="ar"/>
              </w:rPr>
              <w:t xml:space="preserve">640mm±50mm*960mm±50mm</w:t>
            </w:r>
            <w:r>
              <w:rPr>
                <w:rFonts w:hint="eastAsia" w:ascii="宋体" w:hAnsi="宋体" w:eastAsia="宋体" w:cs="宋体"/>
                <w:i w:val="0"/>
                <w:iCs w:val="0"/>
                <w:color w:val="000000"/>
                <w:sz w:val="24"/>
                <w:szCs w:val="24"/>
                <w:u w:val="none"/>
                <w:lang w:val="en-US" w:eastAsia="zh-CN" w:bidi="ar"/>
              </w:rPr>
              <w:t xml:space="preserve">,防水、防尘处理。三色屏,支持、通讯式、脉冲式倒计时功能。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小计（3）</w:t>
            </w:r>
            <w:r/>
          </w:p>
        </w:tc>
        <w:tc>
          <w:tcPr>
            <w:tcW w:w="3520" w:type="dxa"/>
            <w:vAlign w:val="center"/>
            <w:textDirection w:val="lrTb"/>
            <w:noWrap w:val="false"/>
          </w:tcPr>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北兴路金荷路路口和园林路长乐路路口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900万高清抓拍单元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北兴路金荷路路口东西向2处计2台(电警);2、园林路长乐路路口东西方向2处计2台(电警);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LED暖光灯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北兴路金荷路路口东西向2个车道计2台;2、园林路长乐路路口东西方向4个车道计4台;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立柱式一体化行人过街系统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3.5米一体式,灯具排布为静止红色、动态绿、倒计时三联、带触摸式按钮定制及基础（开挖、回填、C30砼、模板、杆件、灯具、按钮、基础笼等）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一体化机动车信号灯系统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5.2米一体式,灯具排布为红圆盘、黄圆盘、绿圆盘、倒计时四联;及基础（开挖、回填、C30砼、模板、杆件、灯具、按钮、基础笼等）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H6.5ML9M-1套;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H6.5ML6M-1套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规格:500*400*180*1.0MM;内含漏电保护器一只、多孔位插排一只;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5口千兆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系统供接电施工(含系统用电所必需的用电开户手续、控制开关、插座等)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系统供接电施工(含系统用电所必需的用电开户手续、线路、管路、控制开关、插座等)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顶管施工(涉及信号及电警的过路顶管作业)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附属管道开挖及回填(电警及信号部分)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接线窨井及重型复合井盖</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信号线缆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RVV8*1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控制电缆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补光灯控制线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RVV5*1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向第三方运营商租用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含2年专线租用费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室外防雨落地式接电开关配电柜(含基础)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不锈钢或镀锌冷压板加工制作、规格不低于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1200*600*350,厚度不低于1.0,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窨井(机柜处设置)</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数字式带防雷100A2P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电力电缆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供接电线缆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规格不低于YJV2*6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硅芯管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不低于HDPE40*3.0一根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开挖沟槽</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根据现场自行勘察，自行考虑；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6cm人行道砖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3cm砂浆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C20无砂大孔砼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级配碎石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5cm 细粒式沥青砼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30cmC25水泥混凝土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斑马线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0.4*5*55道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东西向各12道、南向8道、北向23道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东、西、北向各6M、南3M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道路中间黄实线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停车线后30M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边道实线(白)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车道导向箭头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每方向进出各2个,共4个,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东西方向非机动车道缺失增补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532"/>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小计（4)</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五</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小计（5)</w:t>
            </w:r>
            <w:r/>
          </w:p>
        </w:tc>
        <w:tc>
          <w:tcPr>
            <w:tcW w:w="35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六</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lang w:val="en-US" w:eastAsia="zh-CN"/>
              </w:rPr>
              <w:t xml:space="preserve"> 信号灯故障智能检测系统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智能运维基础模块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1.支持资产管理,包括平台同步设备/通道、智能设备、IT基础设备、软件应用;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2.支持设备在线状态、视频点播、视频质量诊断、录像完整性、卡口抓拍量检测等功能,并支持对以上异常故障的报警及可视化报表统计;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智能运维NMS的通道授权模块;每份包含100路通道授权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center"/>
            <w:textDirection w:val="lrTb"/>
            <w:noWrap w:val="false"/>
          </w:tcPr>
          <w:p>
            <w:pPr>
              <w:jc w:val="both"/>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交警设备设施故障检测模块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检测区域和检测算法配置支持对视频通道进行信号灯、LED屏等检测对象检测区配置,支持基于实时通道图片画面进行检测区绘制圈选出检测目标,同时可配置对应检测类型和算法类型,以及对算法分析时长进行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运维硬件服务器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CPU:不低于8物理核心/16线程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内存:配置不低于2根16GB DDR4内存,容量最高支持至256GB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网卡:板载集成千兆双口+双口千兆网卡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通过riser卡可提供2种PCIe选择:最大可支持2个×8 PCIe 插槽,可支持1块全高半长加1块半高半长PCIe卡最大可支持1个×16 PCIe 插槽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SAS3008卡,支持RAID0/1/10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硬盘:2T LFF SATA × 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交通事件检测智能服务器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硬盘:1块2.5寸128GB SSD,2块3.5寸4TB硬盘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内存:4根8GB DDR4内存条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智能卡数量:2块智能分析卡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主处理器:CPU不低于4核8线程,3.6GHz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支持运行红绿灯检测运维算法分析;单台支持不低于32路400万视频分析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数据库扩容</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支持5亿条数据量存储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日增数据写入500万条/天(单条数据平均2K)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数据接入:针对实时流数据提供安全,可靠,可弹性扩展的数据接入能力,支持从kafka、RabbitMQ等主流中间件数据源以消息流方式接入实时结构化数据,包括:过车数据,人脸数据,Mac数据,RFID数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据,档案类数据等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数据生命周期管理:支持用户自定义配置数据存储生命周期,自动删除超过生命周期的数据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高级查询接口:1、提供统一API查询接口功能:对上层业务实现了API统一封装,便于上层业务查询对接2、提供通用SQL查询接口功能:支持通过自定义SQL语句方式查询业务数据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运维管理:1、支持对数据库系统运维:支持服务启停、支持修改IP以及密码、支持数据库巡检2、支持对数据库监控功能:支持监控系统整体运行情况3、提供数据管家功能:支持创建业务表,支持管理数据接入任务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流媒体节点软件</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转发参数:支持单节点256路转发(4M码流、四网口绑定)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存储参数:或支持单节点256路存储(4M码流、四网口绑定);或 支持单节点400路车辆卡口存储(四网口绑定)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接入参数:支持5000私有协议接入,或2500国标接入,或5000主动注册,或2500 Onvif接入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流媒体节点服务器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处理器:2颗Intel Xeon 4210(R)×2.2G 9.6UPI 13.75M 10C 85W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内存:配置4条16GB DDR4 2933 REG内存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固态硬盘(SSD):配置2块480G 2.5寸-SATA固态硬盘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机械硬盘(HDD):配置2块2T 3.5</w:t>
            </w:r>
            <w:r>
              <w:rPr>
                <w:rFonts w:hint="eastAsia" w:ascii="宋体" w:hAnsi="宋体" w:cs="宋体"/>
                <w:i w:val="0"/>
                <w:iCs w:val="0"/>
                <w:color w:val="000000"/>
                <w:sz w:val="24"/>
                <w:szCs w:val="24"/>
                <w:u w:val="none"/>
                <w:lang w:val="en-US" w:eastAsia="zh-CN" w:bidi="ar"/>
              </w:rPr>
              <w:t xml:space="preserve">寸</w:t>
            </w:r>
            <w:r>
              <w:rPr>
                <w:rFonts w:hint="eastAsia" w:ascii="宋体" w:hAnsi="宋体" w:eastAsia="宋体" w:cs="宋体"/>
                <w:i w:val="0"/>
                <w:iCs w:val="0"/>
                <w:color w:val="000000"/>
                <w:sz w:val="24"/>
                <w:szCs w:val="24"/>
                <w:u w:val="none"/>
                <w:lang w:val="en-US" w:eastAsia="zh-CN" w:bidi="ar"/>
              </w:rPr>
              <w:t xml:space="preserve">7.2K 6GbSATA热插拔硬盘;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RAID控制器:LSI SAS3008 SAS卡(IR)</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网卡:双口千兆 RJ45网卡+四口千兆 RJ45网卡+板载双口千兆RJ45网卡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电源:双电源/550 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小计（6)</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七</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金湖县文明城市智慧交通管理平台系统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新增非机动车逆行违法行为抓拍模块</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对接城区重点逆行的抓拍相机，获取抓拍非机动车违法图片，并实现违法人员的自动人脸识别，人工审核，自动短信+电话提醒，查询处罚等功能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新增走机动车道违法行为抓拍模块</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对接城区机动车处的抓拍相机，获取抓拍非机动车违法图片，并实现违法人员的自动人脸识别，人工审核，自动短信+电话提醒，查询处罚等功能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小计（7)</w:t>
            </w:r>
            <w:r/>
          </w:p>
        </w:tc>
        <w:tc>
          <w:tcPr>
            <w:tcW w:w="35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八</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电子哨兵系统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哨兵相机（含柱状支架、臂装支架转接件）</w:t>
            </w:r>
            <w:r/>
          </w:p>
        </w:tc>
        <w:tc>
          <w:tcPr>
            <w:tcW w:w="3520" w:type="dxa"/>
            <w:vAlign w:val="center"/>
            <w:textDirection w:val="lrTb"/>
            <w:noWrap w:val="false"/>
          </w:tcPr>
          <w:p>
            <w:pPr>
              <w:numPr>
                <w:ilvl w:val="0"/>
                <w:numId w:val="9"/>
              </w:num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采用一体机，内置优于或等于12mm定焦镜头，雷达发射频率优于或等于80GHz；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2）传感器尺寸≥1/1.8 英寸，视频分辨率≥4M（2688×1520）；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3）可设置显示自定义文字信息、字体大小、字体颜色等，可设置不低于两个输出显示屏IP 地址；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i w:val="0"/>
                <w:iCs w:val="0"/>
                <w:color w:val="000000"/>
                <w:sz w:val="24"/>
                <w:szCs w:val="24"/>
                <w:highlight w:val="none"/>
                <w:u w:val="none"/>
                <w:lang w:val="en-US" w:eastAsia="zh-CN" w:bidi="ar"/>
              </w:rPr>
              <w:t xml:space="preserve">（提供公安部检测报告</w:t>
            </w:r>
            <w:r>
              <w:rPr>
                <w:rFonts w:hint="eastAsia" w:ascii="宋体" w:hAnsi="宋体" w:cs="宋体"/>
                <w:b/>
                <w:bCs/>
                <w:i w:val="0"/>
                <w:iCs w:val="0"/>
                <w:color w:val="000000"/>
                <w:sz w:val="24"/>
                <w:szCs w:val="24"/>
                <w:highlight w:val="none"/>
                <w:u w:val="none"/>
                <w:lang w:val="en-US" w:eastAsia="zh-CN" w:bidi="ar"/>
              </w:rPr>
              <w:t xml:space="preserve">扫描件</w:t>
            </w:r>
            <w:r>
              <w:rPr>
                <w:rFonts w:hint="eastAsia" w:ascii="宋体" w:hAnsi="宋体" w:eastAsia="宋体" w:cs="宋体"/>
                <w:b/>
                <w:bCs/>
                <w:i w:val="0"/>
                <w:iCs w:val="0"/>
                <w:color w:val="000000"/>
                <w:sz w:val="24"/>
                <w:szCs w:val="24"/>
                <w:highlight w:val="none"/>
                <w:u w:val="none"/>
                <w:lang w:val="en-US" w:eastAsia="zh-CN" w:bidi="ar"/>
              </w:rPr>
              <w:t xml:space="preserve">加盖公章）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5）支持雷达数据和视频数据融合，在雷达可视化界面上显示跟踪目标速度、ID、距离；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6）支持捕获通过监测点的车辆图像；支持识别通过监测点的车辆的车牌信息；</w:t>
            </w:r>
            <w:r/>
          </w:p>
          <w:p>
            <w:pPr>
              <w:numPr>
                <w:ilvl w:val="0"/>
                <w:numId w:val="0"/>
              </w:num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w:t>
            </w:r>
            <w:r>
              <w:rPr>
                <w:rFonts w:hint="eastAsia" w:ascii="宋体" w:hAnsi="宋体" w:eastAsia="宋体" w:cs="宋体"/>
                <w:b/>
                <w:bCs/>
                <w:i w:val="0"/>
                <w:iCs w:val="0"/>
                <w:color w:val="000000"/>
                <w:sz w:val="24"/>
                <w:szCs w:val="24"/>
                <w:u w:val="none"/>
                <w:lang w:val="en-US" w:eastAsia="zh-CN" w:bidi="ar"/>
              </w:rPr>
              <w:t xml:space="preserve">件加盖投标人公章）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8）支持超速、道路安全预警事件进行抓拍、短录像并进行报警；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9）设备安装高度在3m~6m时，雷达检测正向运动目标的盲区不大于5m（距安装点位的距离）；</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10）▲支持屏幕内容在Web端实时显示；</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11）具有不低于1个RS232，2个RS485；1路DC12V电源输入接口，1路报警输出接口，1路DC48V/AC24V交直流自适应电源输入接口。</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柱状支架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臂装支架转接件</w:t>
            </w:r>
            <w:r/>
          </w:p>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交通信息发布屏</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1）物理间距：P10；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2）像素组成：红绿双基色（支持红，绿，黄三种颜色显示）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3）显示尺寸：1280mm×640mm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4）亮度：≥6000cd/m2；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5）显示内容：支持发布中文、英文、数字、简单图片；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6）显示方式：支持静止显示、翻页显示、滚动显示；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7）字体：支持16/24/32号字体；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8（语音：支持万能语音播报；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9）防护等级：IP54；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1)灯珠数量:≥16颗LED 光源;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2)照射距离不小于20米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3)光斑覆盖范围:不低于3车道;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4)中心光照度:LED:&lt;40lx(20m光照度);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5)亮度调节:1~20级亮度可调;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6)支持外置光栅防眩目处理;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7)供电方式:AC100–240V;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1)内置8个10M/100M自适应以太网口，视频接入模式码流支持180Mbps，卡口合成模式码流支持100Mbps；标配≥4T硬盘</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2)支持预览界面视频流通道展示相机IP与实时码流大小</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3)支持将 1/2/3/4 张原始图片进行合成，支持多种合成形状选择，图片顺序可任意修改；支持去除原始图片黑边;</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4)支持硬盘图片和录像配额比例设置，支持盘满循环覆盖</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5)历史存储数据防删改功能：录像、图片文件无法直接删除，只能通过循环覆盖和硬盘格式化操作</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6)支持客户端与前端摄像机分别连接该设备的不同网段时，通过端口映射客户端可以跨网段访问前端摄像机并操作配置</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7)视频接入模式支持不低于12路网络压缩高清视频输入，卡口合成模式支持不低于4路网络压缩高清视频输入</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8)支持双网卡路由设置，支持展示已添加的路由</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9)支持对于记录在存储介质上的视(音)频信息，取出的存储介质应能在相同型号的其他设备上正常回放，以保证设备发生故障后记录资料的留存(或复制)</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10)支持自动注册设置选项，可设置平台地址、端口、子设备ID；</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11)▲支持同时对接4个屏幕，支持按通道设置对应的屏号，支持按行驶方向将不同方向的车辆信息发布到不同屏幕上；</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none"/>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2m横臂,含杆件和基础（开挖、回填、碎石、C30砼、钢筋、模板、杆件、基础笼等）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含过路2根φ75PE管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RVV-12*1.5,按实计量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8.10</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 4*1.5,按实计量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RVV-3×1.5,按实计量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信号线缆（信号机通讯用）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超5类网络线(5M成品网线)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供应商</w:t>
            </w:r>
            <w:r>
              <w:rPr>
                <w:rFonts w:hint="eastAsia" w:ascii="宋体" w:hAnsi="宋体" w:eastAsia="宋体" w:cs="宋体"/>
                <w:i w:val="0"/>
                <w:iCs w:val="0"/>
                <w:color w:val="000000"/>
                <w:sz w:val="24"/>
                <w:szCs w:val="24"/>
                <w:u w:val="none"/>
                <w:lang w:val="en-US" w:eastAsia="zh-CN" w:bidi="ar"/>
              </w:rPr>
              <w:t xml:space="preserve">承担二年电费,公安交警部门不提供开户手续资料同时质保期后不承担电费。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8.15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接电控制柜</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接电控制柜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600mm×450mm×1200mm</w:t>
            </w:r>
            <w:r>
              <w:rPr>
                <w:rFonts w:hint="eastAsia" w:ascii="宋体" w:hAnsi="宋体" w:eastAsia="宋体" w:cs="宋体"/>
                <w:i w:val="0"/>
                <w:iCs w:val="0"/>
                <w:color w:val="000000"/>
                <w:sz w:val="24"/>
                <w:szCs w:val="24"/>
                <w:u w:val="none"/>
                <w:lang w:val="en-US" w:eastAsia="zh-CN" w:bidi="ar"/>
              </w:rPr>
              <w:t xml:space="preserve">箱体采用不锈钢,板厚不小于1.2mm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电缆标示桩</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highlight w:val="none"/>
                <w:u w:val="none"/>
                <w:lang w:val="en-US" w:eastAsia="zh-CN" w:bidi="ar"/>
              </w:rPr>
              <w:t xml:space="preserve">10CM*10CM*70CM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电缆保护标志桩为定制标准件,材质采用PVC或玻璃钢材质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自动复位1A*63A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NXBLE-63A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8.20</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供电接电线路过路顶管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过厂区大门1根75PE管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挖槽</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开挖、回填80CM*40CM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长度为预估,距离以现场实际为准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插座</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三眼*10组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防雷20-80KA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小计（</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九</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  无人机方舱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512"/>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无人机小型机场</w:t>
            </w:r>
            <w:r/>
          </w:p>
        </w:tc>
        <w:tc>
          <w:tcPr>
            <w:tcW w:w="3520"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p>
            <w:pPr>
              <w:jc w:val="center"/>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包含两年机库及飞机设备的原厂保障服务。包含所投设备(所有零部件，易损件，电池等消耗品)的机损、维修服务。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787"/>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无人机三责险</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第三者责任险多(100万/年)，共计两年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备用电池</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电池需适配所投无人机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充电循环次数</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200次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探照灯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含支架安装尺寸:≤100x170x30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重量:≤100g上最大功耗:大于等于30W安装方式:快拆手拧螺丝，可同时安装喊话器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喊话器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含支架安装尺寸:≤75x70x55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重量:≤100g；一米处声压缓:大于等于100dB；广播距离大于等于200米；最大功耗大于等于15W；安装方式:快拆手拧螺丝，可同时安装探照灯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增强图传模块</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增强图传模块可将设备接入4G 网络，实现增强图传等多项功能。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行业版遥控器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天线:&gt;4天线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工作频段:支持 2.4G、5.8G 图传显示器分辨率:地面站显示器应采用触摸屏，屏幕显示分辨率多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1920+1080p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显示器亮度:显示器亮度多1400尼特遥控器 4G 增强图传:支持4G增强图传模块，提升图传稳定性遥控器重量:不带外置电池重量≤1.2kg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接口:支持的接口包括HDMI 1.4，SD3.0，Type-C支持 0TG，支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持PD充电，USB-A遥控器支持外置电池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最大信号有效距离(无干扰、无遮挡):&gt;20公里(FCC)10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公里(CE/SRRC/MIC)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无人机信号中继固定站</w:t>
            </w:r>
            <w:r/>
          </w:p>
        </w:tc>
        <w:tc>
          <w:tcPr>
            <w:tcW w:w="3520"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中继站系统精度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基站定位误差：</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单点精度（未标定）：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水平：1.5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星基差分精度：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收敛时间：20 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水平：30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垂直：40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网络 RTK 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中继站图传工作频率：2.4 GHz/5.2 GHz/5.8 GHz</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功率≥10瓦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内置电池工作时间≥3小时</w:t>
            </w:r>
            <w:r/>
          </w:p>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000000"/>
                <w:sz w:val="24"/>
                <w:szCs w:val="24"/>
                <w:lang w:val="en-US" w:eastAsia="zh-CN" w:bidi="ar"/>
              </w:rPr>
              <w:t xml:space="preserve">工作环境温度：优于-20℃ 至 50°C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9.10</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包含两年机库及飞机的运维保养服务，现场保养不低于一个季度一次。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3182"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小计（</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p>
        </w:tc>
        <w:tc>
          <w:tcPr>
            <w:tcW w:w="352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十</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none"/>
              </w:rPr>
              <w:t xml:space="preserve"> 行人和非机动车电子劝导员及非机动车闯红灯系统工程数量表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1200万行人闯红灯抓拍单元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1200万</w:t>
            </w:r>
            <w:r>
              <w:rPr>
                <w:rFonts w:hint="eastAsia" w:ascii="宋体" w:hAnsi="宋体" w:eastAsia="宋体" w:cs="宋体"/>
                <w:i w:val="0"/>
                <w:iCs w:val="0"/>
                <w:color w:val="000000"/>
                <w:sz w:val="24"/>
                <w:szCs w:val="24"/>
                <w:u w:val="none"/>
                <w:lang w:val="en-US" w:eastAsia="zh-CN" w:bidi="ar"/>
              </w:rPr>
              <w:t xml:space="preserve">相机抓拍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LED频闪灯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音柱</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户外音柱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1774"/>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配套杆件及基础（开挖、回填、C30砼、模板、杆件、基础笼等）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每套基础尺寸</w:t>
            </w:r>
            <w:r>
              <w:rPr>
                <w:rFonts w:hint="eastAsia" w:ascii="宋体" w:hAnsi="宋体" w:eastAsia="宋体" w:cs="宋体"/>
                <w:i w:val="0"/>
                <w:iCs w:val="0"/>
                <w:color w:val="000000"/>
                <w:sz w:val="24"/>
                <w:szCs w:val="24"/>
                <w:highlight w:val="none"/>
                <w:u w:val="none"/>
                <w:lang w:val="en-US" w:eastAsia="zh-CN" w:bidi="ar"/>
              </w:rPr>
              <w:t xml:space="preserve">0.8*0.8*1m</w:t>
            </w:r>
            <w:r>
              <w:rPr>
                <w:rFonts w:hint="eastAsia" w:ascii="宋体" w:hAnsi="宋体" w:eastAsia="宋体" w:cs="宋体"/>
                <w:i w:val="0"/>
                <w:iCs w:val="0"/>
                <w:color w:val="000000"/>
                <w:sz w:val="24"/>
                <w:szCs w:val="24"/>
                <w:u w:val="none"/>
                <w:lang w:val="en-US" w:eastAsia="zh-CN" w:bidi="ar"/>
              </w:rPr>
              <w:t xml:space="preserve">,共8套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立柱高4m,壁厚4mm,外径120mm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供电接电保护装置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顶管施工2根φ75PE管,壁厚5mm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1240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交通智能系统调试</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调试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3182" w:type="dxa"/>
            <w:vAlign w:val="center"/>
            <w:textDirection w:val="lrTb"/>
            <w:noWrap w:val="false"/>
          </w:tcPr>
          <w:p>
            <w:pPr>
              <w:jc w:val="left"/>
              <w:keepLines w:val="0"/>
              <w:keepNext w:val="0"/>
              <w:widowControl/>
              <w:tabs>
                <w:tab w:val="left" w:pos="449" w:leader="none"/>
              </w:tabs>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小计（10）</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十一</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声光电定向声波系统工程数量表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爆闪灯+定向声波(2组)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重复显示器</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LED显示屏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爆闪灯+定向声波(4组)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室外六类屏蔽双绞线,据实际量,含水晶头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国标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 </w:t>
            </w:r>
            <w:r/>
          </w:p>
        </w:tc>
        <w:tc>
          <w:tcPr>
            <w:tcW w:w="3182"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小计（11）</w:t>
            </w:r>
            <w:r/>
          </w:p>
        </w:tc>
        <w:tc>
          <w:tcPr>
            <w:tcW w:w="352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十二</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 行人过街预警系统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12.1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无线太阳能道钉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一、功能要求: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支持与行人过街检测单元进行联动,检测到斑马线有行人或非机动车,无线太阳能道钉由黄色频闪改为红色频闪。</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二、参数要求: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1)产品应采用太阳能方式,采用高效单晶硅低照度太阳电池;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2)根据行人过街检测单元路口情况,实时控制道钉变换不同的颜色,警示来往车辆;</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3)标准光强下,充电一天可工作≥48小时,电池充满电后可连续工作≥100小时;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4)发光颜色:支持黄、白、红灯3种颜色;;</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5)LED数量不少于3颗,单颗LED额定电流法相发光强度大于8000mcd;</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6)抗压荷载≥500KN(静态);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7)安装后突出路面高度:不大于10mm;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7)安装后突出路面高度:不大于10mm;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8)发光器件亮度1~8级可调节;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9)道钉出光轴与地平夹角不大于6度;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10)夜间可视距离不低于200m;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11)工作温度范围:-20℃至75℃;</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12)外廓尺寸:直径≤150mm;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13)防水等级:IP68;</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14)道钉支持可拆卸维护;</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15)控制方式:支持基于本地光照亮度自动开启;支持无线受控模式。</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16)使用寿命:不低于5年</w:t>
            </w:r>
            <w:r/>
          </w:p>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小计（12）</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十三</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金湖县水利局路口隐患工程数量表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减速让行标志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减速让行标志▽700及基础（开挖、回填、C30砼、模板、杆件、标志板、灯具、按钮、基础笼等）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前方路口提示标志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前方路口提示标志及基础（开挖、回填、C30砼、模板、杆件、标志板、灯具、按钮、基础笼等）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震动标线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减速让行标线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小计（13）</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52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工程税金</w:t>
            </w:r>
            <w:r/>
          </w:p>
        </w:tc>
        <w:tc>
          <w:tcPr>
            <w:tcW w:w="352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trHeight w:val="52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项目总计</w:t>
            </w:r>
            <w:r/>
          </w:p>
        </w:tc>
        <w:tc>
          <w:tcPr>
            <w:tcW w:w="352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bl>
    <w:p>
      <w:pPr>
        <w:pStyle w:val="1100"/>
        <w:jc w:val="center"/>
        <w:spacing w:line="360" w:lineRule="auto"/>
        <w:rPr>
          <w:rFonts w:hint="eastAsia"/>
          <w:b/>
          <w:bCs/>
          <w:sz w:val="28"/>
          <w:szCs w:val="28"/>
        </w:rPr>
      </w:pPr>
      <w:r>
        <w:rPr>
          <w:rFonts w:hint="eastAsia"/>
          <w:b/>
          <w:bCs/>
          <w:sz w:val="28"/>
          <w:szCs w:val="28"/>
        </w:rPr>
      </w:r>
      <w:r/>
    </w:p>
    <w:p>
      <w:pPr>
        <w:pStyle w:val="1100"/>
        <w:jc w:val="center"/>
        <w:spacing w:line="360" w:lineRule="auto"/>
        <w:rPr>
          <w:b/>
          <w:bCs/>
          <w:sz w:val="28"/>
          <w:szCs w:val="28"/>
        </w:rPr>
      </w:pPr>
      <w:r>
        <w:rPr>
          <w:rFonts w:hint="eastAsia"/>
          <w:b/>
          <w:bCs/>
          <w:sz w:val="28"/>
          <w:szCs w:val="28"/>
        </w:rPr>
        <w:t xml:space="preserve">二、主要设备及参数指标</w:t>
      </w:r>
      <w:r/>
    </w:p>
    <w:p>
      <w:pPr>
        <w:pStyle w:val="847"/>
        <w:ind w:left="0" w:firstLine="482"/>
        <w:rPr>
          <w:rFonts w:hint="eastAsia" w:ascii="宋体" w:hAnsi="宋体" w:eastAsia="宋体" w:cs="宋体"/>
          <w:b/>
          <w:color w:val="ff0000"/>
          <w:sz w:val="24"/>
          <w:lang w:eastAsia="zh-CN"/>
        </w:rPr>
      </w:pPr>
      <w:r>
        <w:rPr>
          <w:rFonts w:hint="eastAsia" w:ascii="宋体" w:hAnsi="宋体" w:eastAsia="宋体" w:cs="宋体"/>
          <w:b/>
          <w:color w:val="ff0000"/>
          <w:sz w:val="24"/>
          <w:lang w:eastAsia="zh-CN"/>
        </w:rPr>
        <w:t xml:space="preserve">以下标注“★”号为本次项目的实质性要求和条件，必须全部满足，有一项不满足负偏离的作无效标处理，参数允许正偏离。</w:t>
      </w:r>
      <w:r/>
    </w:p>
    <w:p>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一、交通信号控制系统</w:t>
      </w:r>
      <w:r/>
    </w:p>
    <w:p>
      <w:pPr>
        <w:spacing w:line="360" w:lineRule="auto"/>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1.1</w:t>
      </w:r>
      <w:r>
        <w:rPr>
          <w:rFonts w:hint="eastAsia" w:ascii="宋体" w:hAnsi="宋体" w:eastAsia="宋体" w:cs="宋体"/>
          <w:b/>
          <w:sz w:val="24"/>
          <w:highlight w:val="none"/>
          <w:lang w:eastAsia="zh-CN"/>
        </w:rPr>
        <w:t xml:space="preserve">、</w:t>
      </w:r>
      <w:r>
        <w:rPr>
          <w:rFonts w:hint="eastAsia" w:ascii="宋体" w:hAnsi="宋体" w:cs="宋体"/>
          <w:b/>
          <w:sz w:val="24"/>
          <w:highlight w:val="none"/>
          <w:lang w:val="en-US" w:eastAsia="zh-CN"/>
        </w:rPr>
        <w:t xml:space="preserve">集中协调式交通信号控制机、手持式遥控器</w:t>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（1）集中协调式交通信号控制机技术参数及指标</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w:t>
      </w:r>
      <w:r>
        <w:rPr>
          <w:rFonts w:hint="eastAsia" w:ascii="Calibri" w:hAnsi="Calibri" w:eastAsia="宋体" w:cs="Times New Roman"/>
          <w:spacing w:val="6"/>
          <w:sz w:val="24"/>
          <w:highlight w:val="none"/>
          <w:lang w:val="en-US" w:eastAsia="zh-CN"/>
        </w:rPr>
        <w:t xml:space="preserve">要求和金湖县交警大队现有交通信号平台无缝对接。</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①标准：遵从国家标准《道路交通信号控制机》（GB25280-2016）的中心协调控制式信号机。</w:t>
      </w:r>
      <w:r>
        <w:rPr>
          <w:rFonts w:hint="eastAsia" w:ascii="Calibri" w:hAnsi="Calibri" w:eastAsia="宋体" w:cs="Times New Roman"/>
          <w:spacing w:val="6"/>
          <w:sz w:val="24"/>
          <w:highlight w:val="none"/>
          <w:lang w:val="en-US" w:eastAsia="zh-CN"/>
        </w:rPr>
        <w:t xml:space="preserve">（</w:t>
      </w:r>
      <w:r>
        <w:rPr>
          <w:rFonts w:hint="eastAsia" w:ascii="Calibri" w:hAnsi="Calibri" w:eastAsia="宋体" w:cs="Times New Roman"/>
          <w:b/>
          <w:bCs/>
          <w:spacing w:val="6"/>
          <w:sz w:val="24"/>
          <w:highlight w:val="none"/>
          <w:lang w:val="en-US" w:eastAsia="zh-CN"/>
        </w:rPr>
        <w:t xml:space="preserve">要求提供国家认可的检测机构出具的检测报告扫描件及无缝对接承诺函原件扫描件加盖公章上传</w:t>
      </w:r>
      <w:r>
        <w:rPr>
          <w:rFonts w:hint="eastAsia" w:ascii="Calibri" w:hAnsi="Calibri" w:eastAsia="宋体" w:cs="Times New Roman"/>
          <w:spacing w:val="6"/>
          <w:sz w:val="24"/>
          <w:highlight w:val="none"/>
          <w:lang w:val="en-US" w:eastAsia="zh-CN"/>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②稳定可靠：采用嵌入式中央控制系统</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rPr>
        <w:t xml:space="preserve">EMC电磁兼容性：具备抗浪涌冲击、抗周期跌落、抗群脉冲干扰、抗静电干扰的能力。</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③超强保护：全天候室外</w:t>
      </w:r>
      <w:r>
        <w:rPr>
          <w:rFonts w:hint="eastAsia" w:ascii="Calibri" w:hAnsi="Calibri" w:eastAsia="宋体" w:cs="Times New Roman"/>
          <w:b/>
          <w:bCs/>
          <w:spacing w:val="6"/>
          <w:sz w:val="24"/>
          <w:highlight w:val="none"/>
          <w:lang w:val="en-US" w:eastAsia="zh-CN"/>
        </w:rPr>
        <w:t xml:space="preserve">双开门</w:t>
      </w:r>
      <w:r>
        <w:rPr>
          <w:rFonts w:hint="eastAsia" w:ascii="Calibri" w:hAnsi="Calibri" w:eastAsia="宋体" w:cs="Times New Roman"/>
          <w:spacing w:val="6"/>
          <w:sz w:val="24"/>
          <w:highlight w:val="none"/>
        </w:rPr>
        <w:t xml:space="preserve">机箱</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rPr>
        <w:t xml:space="preserve">内置防雷和防浪涌装置</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主控单元、灯控单元、配电单元均采用上架式安装</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④多种通讯接口：可扩展RS232、RS485接口与上位机通信，可采用光缆、PSTN共用电话网、无线电等联网方式，并可根据用户要求，支持符合TCP/IP协议的局域网、移动通讯网等方式。</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⑤配置灵活：每个信号灯的闪烁时间和状态可调。</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⑥故障诊断：全面的故障诊断功能使故障定方便。</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⑦</w:t>
      </w:r>
      <w:r>
        <w:rPr>
          <w:rFonts w:hint="eastAsia" w:ascii="Calibri" w:hAnsi="Calibri" w:eastAsia="宋体" w:cs="Times New Roman"/>
          <w:spacing w:val="6"/>
          <w:sz w:val="24"/>
          <w:highlight w:val="none"/>
          <w:lang w:val="en-US" w:eastAsia="zh-CN"/>
        </w:rPr>
        <w:t xml:space="preserve">信号控制器支持最大值设置功能，对“对象名maxTimebaseAscActions”最大值设置为255</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⑧模块化设计：交通信号控制机采用模块化设计，分为电源模块、主控模块、通信模块、灯驱模块、车辆检测器模块、手控模块、特勤控制接收模块、特勤控制器模块及背板接口板组成。电源模块负责为信号控制机的各功能模块提供稳定可靠的供电，并提供电源工作电压、电流等参数检测及电源故障检测；主控模块为主要控制模块，完成信号控制机的各类参数配置、故障检测、实时控制等功能，并可与中心控制平台软件的通信及完成对其它功能模块的通信控制；灯驱模块在主控模块的控制下完成对路口信号灯的灯色切换、灯闪等</w:t>
      </w:r>
      <w:r>
        <w:rPr>
          <w:rFonts w:hint="eastAsia" w:ascii="Calibri" w:hAnsi="Calibri" w:eastAsia="宋体" w:cs="Times New Roman"/>
          <w:spacing w:val="6"/>
          <w:sz w:val="24"/>
          <w:highlight w:val="none"/>
        </w:rPr>
        <w:t xml:space="preserve">控制，每一灯驱模块提供12路灯驱输出，可控制12路灯，一般每一灯驱模块控制一个方向的信号灯（包含左转、直行、右转和人行），交通信号控制机一般配置4块灯驱模块，可按需要扩展到8块灯驱动模块；通信模块主要提供RS485接口的视频、线圈、微波、地磁等检测器的接口，若检测器未提供RS485接口，则需要通过接口板转接；车辆检测器模块为选配单元，主要提供线圈检测器的接口；手控模块完成对信号控制机的手动控制；特勤控制接收模块和特勤控制器模块主要完成对特勤车辆的快速通行控制；背板接口板主要提供外部的输入输出接口的转接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⑨</w:t>
      </w:r>
      <w:r>
        <w:rPr>
          <w:rFonts w:hint="eastAsia" w:ascii="Calibri" w:hAnsi="Calibri" w:eastAsia="宋体" w:cs="Times New Roman"/>
          <w:spacing w:val="6"/>
          <w:sz w:val="24"/>
          <w:highlight w:val="none"/>
          <w:lang w:val="en-US" w:eastAsia="zh-CN"/>
        </w:rPr>
        <w:t xml:space="preserve">信号控制配置</w:t>
      </w:r>
      <w:r>
        <w:rPr>
          <w:rFonts w:hint="eastAsia" w:ascii="Calibri" w:hAnsi="Calibri" w:eastAsia="宋体" w:cs="Times New Roman"/>
          <w:spacing w:val="6"/>
          <w:sz w:val="24"/>
          <w:highlight w:val="none"/>
        </w:rPr>
        <w:t xml:space="preserve">方式灵活：支持基于平板或手提电脑等的智能交通信号控制配置</w:t>
      </w:r>
      <w:r>
        <w:rPr>
          <w:rFonts w:hint="eastAsia" w:ascii="Calibri" w:hAnsi="Calibri" w:eastAsia="宋体" w:cs="Times New Roman"/>
          <w:spacing w:val="6"/>
          <w:sz w:val="24"/>
          <w:highlight w:val="none"/>
          <w:lang w:val="en-US" w:eastAsia="zh-CN"/>
        </w:rPr>
        <w:t xml:space="preserve">能力</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▲⑩</w:t>
      </w:r>
      <w:r>
        <w:rPr>
          <w:rFonts w:hint="eastAsia" w:ascii="Calibri" w:hAnsi="Calibri" w:eastAsia="宋体" w:cs="Times New Roman"/>
          <w:spacing w:val="6"/>
          <w:sz w:val="24"/>
          <w:highlight w:val="none"/>
          <w:lang w:val="en-US" w:eastAsia="zh-CN"/>
        </w:rPr>
        <w:t xml:space="preserve">信号控制机能够实现数据库事务的处理机制；实现了黄闪、感应控制、报警等功能；支持日志操作功能；支持不少于32相位、不少于16路行人检测器；信号控制器支持最大值设置功能，对“对象名maxPatterns、maxSplits”最大值设置均不小于128</w:t>
      </w:r>
      <w:r>
        <w:rPr>
          <w:rFonts w:hint="eastAsia" w:ascii="Calibri" w:hAnsi="Calibri" w:eastAsia="宋体" w:cs="Times New Roman"/>
          <w:spacing w:val="6"/>
          <w:sz w:val="24"/>
          <w:highlight w:val="none"/>
        </w:rPr>
        <w:t xml:space="preserve">。（</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▲⑪</w:t>
      </w:r>
      <w:r>
        <w:rPr>
          <w:rFonts w:hint="eastAsia" w:ascii="Calibri" w:hAnsi="Calibri" w:eastAsia="宋体" w:cs="Times New Roman"/>
          <w:spacing w:val="6"/>
          <w:sz w:val="24"/>
          <w:highlight w:val="none"/>
          <w:lang w:val="en-US" w:eastAsia="zh-CN"/>
        </w:rPr>
        <w:t xml:space="preserve">支持</w:t>
      </w:r>
      <w:r>
        <w:rPr>
          <w:rFonts w:hint="eastAsia" w:ascii="Calibri" w:hAnsi="Calibri" w:eastAsia="宋体" w:cs="Times New Roman"/>
          <w:spacing w:val="6"/>
          <w:sz w:val="24"/>
          <w:highlight w:val="none"/>
        </w:rPr>
        <w:t xml:space="preserve">扩展</w:t>
      </w:r>
      <w:r>
        <w:rPr>
          <w:rFonts w:hint="eastAsia" w:ascii="Calibri" w:hAnsi="Calibri" w:eastAsia="宋体" w:cs="Times New Roman"/>
          <w:spacing w:val="6"/>
          <w:sz w:val="24"/>
          <w:highlight w:val="none"/>
          <w:lang w:val="en-US" w:eastAsia="zh-CN"/>
        </w:rPr>
        <w:t xml:space="preserve">功能</w:t>
      </w:r>
      <w:r>
        <w:rPr>
          <w:rFonts w:hint="eastAsia" w:ascii="Calibri" w:hAnsi="Calibri" w:eastAsia="宋体" w:cs="Times New Roman"/>
          <w:spacing w:val="6"/>
          <w:sz w:val="24"/>
          <w:highlight w:val="none"/>
        </w:rPr>
        <w:t xml:space="preserve">：对</w:t>
      </w:r>
      <w:r>
        <w:rPr>
          <w:rFonts w:hint="eastAsia" w:ascii="Calibri" w:hAnsi="Calibri" w:eastAsia="宋体" w:cs="Times New Roman"/>
          <w:spacing w:val="6"/>
          <w:sz w:val="24"/>
          <w:highlight w:val="none"/>
          <w:lang w:val="en-US" w:eastAsia="zh-CN"/>
        </w:rPr>
        <w:t xml:space="preserve">扩</w:t>
      </w:r>
      <w:r>
        <w:rPr>
          <w:rFonts w:hint="eastAsia" w:ascii="Calibri" w:hAnsi="Calibri" w:eastAsia="宋体" w:cs="Times New Roman"/>
          <w:spacing w:val="6"/>
          <w:sz w:val="24"/>
          <w:highlight w:val="none"/>
        </w:rPr>
        <w:t xml:space="preserve">展功能之数据安全跟踪处理能力</w:t>
      </w:r>
      <w:r>
        <w:rPr>
          <w:rFonts w:hint="eastAsia" w:ascii="Calibri" w:hAnsi="Calibri" w:eastAsia="宋体" w:cs="Times New Roman"/>
          <w:spacing w:val="6"/>
          <w:sz w:val="24"/>
          <w:highlight w:val="none"/>
          <w:lang w:val="en-US" w:eastAsia="zh-CN"/>
        </w:rPr>
        <w:t xml:space="preserve">测试</w:t>
      </w:r>
      <w:r>
        <w:rPr>
          <w:rFonts w:hint="eastAsia" w:ascii="Calibri" w:hAnsi="Calibri" w:eastAsia="宋体" w:cs="Times New Roman"/>
          <w:spacing w:val="6"/>
          <w:sz w:val="24"/>
          <w:highlight w:val="none"/>
        </w:rPr>
        <w:t xml:space="preserve">进行</w:t>
      </w:r>
      <w:r>
        <w:rPr>
          <w:rFonts w:hint="eastAsia" w:ascii="Calibri" w:hAnsi="Calibri" w:eastAsia="宋体" w:cs="Times New Roman"/>
          <w:spacing w:val="6"/>
          <w:sz w:val="24"/>
          <w:highlight w:val="none"/>
          <w:lang w:val="en-US" w:eastAsia="zh-CN"/>
        </w:rPr>
        <w:t xml:space="preserve">检测</w:t>
      </w:r>
      <w:r>
        <w:rPr>
          <w:rFonts w:hint="eastAsia" w:ascii="Calibri" w:hAnsi="Calibri" w:eastAsia="宋体" w:cs="Times New Roman"/>
          <w:spacing w:val="6"/>
          <w:sz w:val="24"/>
          <w:highlight w:val="none"/>
        </w:rPr>
        <w:t xml:space="preserve">，</w:t>
      </w:r>
      <w:r>
        <w:rPr>
          <w:rFonts w:hint="eastAsia" w:ascii="Calibri" w:hAnsi="Calibri" w:eastAsia="宋体" w:cs="Times New Roman"/>
          <w:spacing w:val="6"/>
          <w:sz w:val="24"/>
          <w:highlight w:val="none"/>
          <w:lang w:val="en-US" w:eastAsia="zh-CN"/>
        </w:rPr>
        <w:t xml:space="preserve">信号控制机</w:t>
      </w:r>
      <w:r>
        <w:rPr>
          <w:rFonts w:hint="eastAsia" w:ascii="Calibri" w:hAnsi="Calibri" w:eastAsia="宋体" w:cs="Times New Roman"/>
          <w:spacing w:val="6"/>
          <w:sz w:val="24"/>
          <w:highlight w:val="none"/>
        </w:rPr>
        <w:t xml:space="preserve">具备数据安全跟踪处理机制</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判定结果：符合，信号控制机级别判定为C级</w:t>
      </w:r>
      <w:r>
        <w:rPr>
          <w:rFonts w:hint="eastAsia" w:ascii="Calibri" w:hAnsi="Calibri" w:eastAsia="宋体" w:cs="Times New Roman"/>
          <w:spacing w:val="6"/>
          <w:sz w:val="24"/>
          <w:highlight w:val="none"/>
        </w:rPr>
        <w:t xml:space="preserve">。（</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⑫工作模式多样：可设置实时自适应、多时段多方案、半感应、全感应、定周期、人工手控、无电缆协调、指挥中心步进控制、黄闪、交通管制、紧急优先等多种工作模式。</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绿波控制：在执行警卫、消防、救护、抢险等任务的时候，其行车路线上的各交通信号灯按车辆到达路口的时间开启绿灯，保证车辆畅通无阻。控制方式可由中央控制器实现。</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单点控制：各交叉路口的信号灯由交通信号机独立控制。</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闪灯控制：信号灯黄灯不停的闪烁，向车辆和行人发出警告或提示。</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步进控制：根据路口交通需求，由指挥中心发出命令模拟交通信号机的手动控制方式，进行交通疏导。</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交通管制：根据路口交通需求，由指挥中心发出命令模拟交通信号机的手动控制方式，进行交通疏导。</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▲紧急优先：支持紧急优先</w:t>
      </w:r>
      <w:r>
        <w:rPr>
          <w:rFonts w:hint="eastAsia" w:ascii="Calibri" w:hAnsi="Calibri" w:eastAsia="宋体" w:cs="Times New Roman"/>
          <w:spacing w:val="6"/>
          <w:sz w:val="24"/>
          <w:highlight w:val="none"/>
          <w:lang w:val="en-US" w:eastAsia="zh-CN"/>
        </w:rPr>
        <w:t xml:space="preserve">测试</w:t>
      </w:r>
      <w:r>
        <w:rPr>
          <w:rFonts w:hint="eastAsia" w:ascii="Calibri" w:hAnsi="Calibri" w:eastAsia="宋体" w:cs="Times New Roman"/>
          <w:spacing w:val="6"/>
          <w:sz w:val="24"/>
          <w:highlight w:val="none"/>
        </w:rPr>
        <w:t xml:space="preserve">，此功能的消息格式与内容符合标准要求。（</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⑬交通数据自动采集与处理：</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通过车辆检测器对路口每个车道的车流量进行自动采集、处理和存储，为改善城市交通控制和城市规划提供决策依据。</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支持环形线圈，电涡流、超声波、雷达、视频识别等多种车辆检测器。通过车辆检测器可实时检测控制区域内的交通流状况，通过交通模型计算出路口停车线车辆的到达和排队情况，以减少行车延误和停车率为优化目标，对控制方案与控制参数进行优化调整，构成整体优化的实时自适应控制系统。</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⑭设备防护：具备过载与漏电保护，软/硬件双重监视的绿冲突保护。对系统硬件、软件的工作状态和故障情况进行全面监视。所有输出口都采用了光电隔离措施。支持控制命令发送、设备情况查询、实时显示各受控路口红绿灯状况。降级顺序：指挥中心控制-无电缆协调控制-感应控制-多时段多方案-定周期控制-黄闪。</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⑮▲对象处理能力测试中，支持事务操作能力、模拟事务处理流程状态机的各个环节。（</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⑯</w:t>
      </w:r>
      <w:r>
        <w:rPr>
          <w:rFonts w:hint="eastAsia" w:ascii="Calibri" w:hAnsi="Calibri" w:eastAsia="宋体" w:cs="Times New Roman"/>
          <w:spacing w:val="6"/>
          <w:sz w:val="24"/>
          <w:highlight w:val="none"/>
          <w:lang w:val="en-US" w:eastAsia="zh-CN"/>
        </w:rPr>
        <w:t xml:space="preserve">支持通过交警信号中心平台对交通信号进行联网控制</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⑰信号控制机的机柜满足公安部的相关标准要求，内部空间大，利于信号机的散热、安装、使用和维修、机柜内可放置光端机、交换机、闯红灯监测设备等设备。信号灯灯具接线、外部保险等均在机柜内连接。机柜门采用统一门锁，门锁上有保护装置，以防止被非法使用者打开。信号控制器柜门采用内嵌式，缝隙小于3毫米，保障信号机的安全。手动控制开关盒设置于机柜的侧面，可单独打开，而无需打开主机柜门。</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⑱物理指标：</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工作电压：AC176～264V。频率：48～52Hz</w:t>
      </w:r>
      <w:r>
        <w:rPr>
          <w:rFonts w:hint="eastAsia" w:ascii="Calibri" w:hAnsi="Calibri" w:eastAsia="宋体" w:cs="Times New Roman"/>
          <w:spacing w:val="6"/>
          <w:sz w:val="24"/>
          <w:highlight w:val="none"/>
          <w:lang w:eastAsia="zh-CN"/>
        </w:rPr>
        <w:t xml:space="preserve">。</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b w:val="0"/>
          <w:bCs w:val="0"/>
          <w:spacing w:val="6"/>
          <w:sz w:val="24"/>
          <w:highlight w:val="none"/>
        </w:rPr>
        <w:t xml:space="preserve">绝缘电阻</w:t>
      </w:r>
      <w:r>
        <w:rPr>
          <w:rFonts w:hint="eastAsia" w:ascii="Calibri" w:hAnsi="Calibri" w:eastAsia="宋体" w:cs="Times New Roman"/>
          <w:b w:val="0"/>
          <w:bCs w:val="0"/>
          <w:spacing w:val="6"/>
          <w:sz w:val="24"/>
          <w:highlight w:val="none"/>
          <w:lang w:eastAsia="zh-CN"/>
        </w:rPr>
        <w:t xml:space="preserve">：</w:t>
      </w:r>
      <w:r>
        <w:rPr>
          <w:rFonts w:hint="eastAsia" w:ascii="Calibri" w:hAnsi="Calibri" w:eastAsia="宋体" w:cs="Times New Roman"/>
          <w:spacing w:val="6"/>
          <w:sz w:val="24"/>
          <w:highlight w:val="none"/>
        </w:rPr>
        <w:t xml:space="preserve">★信号机电源电极或其他导电部分与可触及</w:t>
      </w:r>
      <w:r>
        <w:rPr>
          <w:rFonts w:hint="eastAsia" w:ascii="Calibri" w:hAnsi="Calibri" w:eastAsia="宋体" w:cs="Times New Roman"/>
          <w:spacing w:val="6"/>
          <w:sz w:val="24"/>
          <w:highlight w:val="none"/>
          <w:lang w:val="en-US" w:eastAsia="zh-CN"/>
        </w:rPr>
        <w:t xml:space="preserve">机柜、机箱</w:t>
      </w:r>
      <w:r>
        <w:rPr>
          <w:rFonts w:hint="eastAsia" w:ascii="Calibri" w:hAnsi="Calibri" w:eastAsia="宋体" w:cs="Times New Roman"/>
          <w:spacing w:val="6"/>
          <w:sz w:val="24"/>
          <w:highlight w:val="none"/>
        </w:rPr>
        <w:t xml:space="preserve">的绝缘电阻应不小于10MΩ。（</w:t>
      </w:r>
      <w:r>
        <w:rPr>
          <w:rFonts w:hint="eastAsia" w:ascii="Calibri" w:hAnsi="Calibri" w:eastAsia="宋体" w:cs="Times New Roman"/>
          <w:b/>
          <w:bCs/>
          <w:spacing w:val="6"/>
          <w:sz w:val="24"/>
          <w:highlight w:val="none"/>
        </w:rPr>
        <w:t xml:space="preserve">提供</w:t>
      </w:r>
      <w:r>
        <w:rPr>
          <w:rFonts w:hint="eastAsia" w:ascii="Calibri" w:hAnsi="Calibri" w:eastAsia="宋体" w:cs="Times New Roman"/>
          <w:b/>
          <w:bCs/>
          <w:spacing w:val="6"/>
          <w:sz w:val="24"/>
          <w:highlight w:val="none"/>
          <w:lang w:eastAsia="zh-CN"/>
        </w:rPr>
        <w:t xml:space="preserve">国家认可的检测机构</w:t>
      </w:r>
      <w:r>
        <w:rPr>
          <w:rFonts w:hint="eastAsia" w:ascii="Calibri" w:hAnsi="Calibri" w:eastAsia="宋体" w:cs="Times New Roman"/>
          <w:b/>
          <w:bCs/>
          <w:spacing w:val="6"/>
          <w:sz w:val="24"/>
          <w:highlight w:val="none"/>
        </w:rPr>
        <w:t xml:space="preserve">出具的检测报告原件扫描件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整机功率不超过30W（不包含红绿灯功率）。</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输出功率</w:t>
      </w:r>
      <w:r>
        <w:rPr>
          <w:rFonts w:hint="eastAsia" w:ascii="Calibri" w:hAnsi="Calibri" w:eastAsia="宋体" w:cs="Times New Roman"/>
          <w:spacing w:val="6"/>
          <w:sz w:val="24"/>
          <w:highlight w:val="none"/>
          <w:lang w:val="en-US" w:eastAsia="zh-CN"/>
        </w:rPr>
        <w:t xml:space="preserve">：</w:t>
      </w:r>
      <w:r>
        <w:rPr>
          <w:rFonts w:hint="eastAsia" w:ascii="Calibri" w:hAnsi="Calibri" w:eastAsia="宋体" w:cs="Times New Roman"/>
          <w:spacing w:val="6"/>
          <w:sz w:val="24"/>
          <w:highlight w:val="none"/>
        </w:rPr>
        <w:t xml:space="preserve">每路最大输出功率300W。</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工作温度：－40℃～70℃。</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工作湿度：&lt;95%无结露；</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整机重量：≤60kg。</w:t>
      </w:r>
      <w:r/>
    </w:p>
    <w:p>
      <w:pPr>
        <w:ind w:firstLine="504"/>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spacing w:val="6"/>
          <w:sz w:val="24"/>
          <w:highlight w:val="none"/>
        </w:rPr>
        <w:t xml:space="preserve">结构采用镀锌钢板或冷轧板制作，外表面静电喷涂处理，要求维护开门方便，具备防锈、防水、防盗特点。</w:t>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（2）手持式遥控器</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通过手持式遥控器实现对交叉路口交通信号的智能控制调节，根据面板上对应的参数进行手持式控制，实现对某一方向特殊控制，操作简便、实用，操作界面采用中文界面控制</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要求和金湖道路上现有信号控制系统兼容。</w:t>
      </w:r>
      <w:r/>
    </w:p>
    <w:p>
      <w:pPr>
        <w:ind w:firstLine="482"/>
        <w:jc w:val="left"/>
        <w:keepLines w:val="0"/>
        <w:keepNext w:val="0"/>
        <w:pageBreakBefore w:val="0"/>
        <w:spacing w:line="480" w:lineRule="exact"/>
        <w:rPr>
          <w:rFonts w:hint="eastAsia" w:ascii="宋体" w:hAnsi="宋体" w:cs="宋体"/>
          <w:b/>
          <w:sz w:val="24"/>
          <w:highlight w:val="none"/>
        </w:rPr>
        <w:outlineLvl w:val="9"/>
      </w:pPr>
      <w:r>
        <w:rPr>
          <w:rFonts w:hint="eastAsia" w:ascii="宋体" w:hAnsi="宋体" w:cs="宋体"/>
          <w:b/>
          <w:sz w:val="24"/>
          <w:highlight w:val="none"/>
        </w:rPr>
        <w:t xml:space="preserve">主要功能：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①具备指定方向绿灯方向放行功能；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②功能切换实现不同模式对信号机遥控功能；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③带OLED显示屏，直观方便；</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④显示当前放行方向与信号机同步；</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⑤手持式遥控器配置3.7V1200mAh锂电池和专用充电器；</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⑥采用先进的LOAR扩频技术和高效的循环交织纠检错编码技术，超强抗干扰；</w:t>
      </w:r>
      <w:r/>
    </w:p>
    <w:p>
      <w:pPr>
        <w:ind w:firstLine="482"/>
        <w:jc w:val="left"/>
        <w:keepLines w:val="0"/>
        <w:keepNext w:val="0"/>
        <w:pageBreakBefore w:val="0"/>
        <w:spacing w:line="460" w:lineRule="exact"/>
        <w:rPr>
          <w:rFonts w:hint="eastAsia" w:ascii="宋体" w:hAnsi="宋体" w:cs="宋体"/>
          <w:b/>
          <w:sz w:val="24"/>
          <w:highlight w:val="none"/>
        </w:rPr>
        <w:outlineLvl w:val="9"/>
      </w:pPr>
      <w:r>
        <w:rPr>
          <w:rFonts w:hint="eastAsia" w:ascii="宋体" w:hAnsi="宋体" w:cs="宋体"/>
          <w:b/>
          <w:sz w:val="24"/>
          <w:highlight w:val="none"/>
        </w:rPr>
        <w:t xml:space="preserve">主要参数：</w:t>
      </w:r>
      <w:r/>
    </w:p>
    <w:tbl>
      <w:tblPr>
        <w:tblStyle w:val="817"/>
        <w:tblW w:w="0" w:type="auto"/>
        <w:tblInd w:w="189" w:type="dxa"/>
        <w:tblLayout w:type="fixed"/>
        <w:tblCellMar>
          <w:left w:w="0" w:type="dxa"/>
          <w:top w:w="0" w:type="dxa"/>
          <w:right w:w="0" w:type="dxa"/>
          <w:bottom w:w="0" w:type="dxa"/>
        </w:tblCellMar>
        <w:tblLook w:val="04A0" w:firstRow="1" w:lastRow="0" w:firstColumn="1" w:lastColumn="0" w:noHBand="0" w:noVBand="1"/>
      </w:tblPr>
      <w:tblGrid>
        <w:gridCol w:w="2889"/>
        <w:gridCol w:w="605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通讯频率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433MHZ</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遥控距离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&gt;400米（功率可调至1公里）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电源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3.7V1200MAH锂电池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屏幕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OLED</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功耗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小于0.2W</w:t>
            </w:r>
            <w:r/>
          </w:p>
        </w:tc>
      </w:tr>
    </w:tbl>
    <w:p>
      <w:pPr>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（3）交通信号控制机通信协议</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lang w:val="en-US" w:eastAsia="zh-CN"/>
        </w:rPr>
        <w:t xml:space="preserve"> 信号控制机通信协议（指令和消息方式）符合GB25280-2016《道路交通信号控制机》中附录A的要求；</w:t>
      </w:r>
      <w:r/>
    </w:p>
    <w:p>
      <w:pPr>
        <w:ind w:firstLine="504"/>
        <w:spacing w:line="360" w:lineRule="auto"/>
        <w:rPr>
          <w:rFonts w:hint="default" w:ascii="宋体" w:hAnsi="宋体" w:cs="宋体"/>
          <w:b/>
          <w:sz w:val="24"/>
          <w:highlight w:val="green"/>
          <w:lang w:val="en-US" w:eastAsia="zh-CN"/>
        </w:rPr>
      </w:pPr>
      <w:r>
        <w:rPr>
          <w:rFonts w:hint="eastAsia" w:ascii="Calibri" w:hAnsi="Calibri" w:eastAsia="宋体" w:cs="Times New Roman"/>
          <w:spacing w:val="6"/>
          <w:sz w:val="24"/>
          <w:highlight w:val="none"/>
          <w:lang w:val="en-US" w:eastAsia="zh-CN"/>
        </w:rPr>
        <w:t xml:space="preserve"> 对信号灯组、方案调度计划、信号配时方案进行检测时，符合要求。</w:t>
      </w:r>
      <w:r/>
    </w:p>
    <w:p>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2</w:t>
      </w:r>
      <w:r>
        <w:rPr>
          <w:rFonts w:hint="eastAsia" w:ascii="宋体" w:hAnsi="宋体" w:eastAsia="宋体" w:cs="宋体"/>
          <w:b/>
          <w:sz w:val="24"/>
          <w:lang w:eastAsia="zh-CN"/>
        </w:rPr>
        <w:t xml:space="preserve">、道路交通信号灯</w:t>
      </w:r>
      <w:r/>
    </w:p>
    <w:p>
      <w:pPr>
        <w:numPr>
          <w:ilvl w:val="0"/>
          <w:numId w:val="0"/>
        </w:numPr>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机动车灯盘采用￠400型，超高亮发光二极管制造；含箭头灯及圆盘灯，考虑到城区道路沿线超高车辆刮擦碰撞等因素，本批次信号灯现场安装时均为“横式安装”。</w:t>
      </w:r>
      <w:r/>
    </w:p>
    <w:p>
      <w:pPr>
        <w:spacing w:before="194" w:line="360" w:lineRule="auto"/>
        <w:rPr>
          <w:rFonts w:ascii="宋体" w:hAnsi="宋体" w:eastAsia="宋体" w:cs="宋体"/>
          <w:b/>
          <w:bCs/>
          <w:spacing w:val="-1"/>
          <w:position w:val="18"/>
          <w:sz w:val="24"/>
          <w:szCs w:val="24"/>
        </w:rPr>
      </w:pPr>
      <w:r>
        <w:rPr>
          <w:rFonts w:hint="eastAsia" w:ascii="宋体" w:hAnsi="宋体" w:eastAsia="宋体" w:cs="宋体"/>
          <w:b/>
          <w:bCs/>
          <w:spacing w:val="-1"/>
          <w:position w:val="18"/>
          <w:sz w:val="24"/>
          <w:szCs w:val="24"/>
        </w:rPr>
        <w:t xml:space="preserve">机动车信号灯</w:t>
      </w:r>
      <w:r/>
    </w:p>
    <w:p>
      <w:pPr>
        <w:numPr>
          <w:ilvl w:val="0"/>
          <w:numId w:val="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含右转方向指示信号灯、左转方向指示信号灯、直行方向指示信号灯和圆盘机动车信号灯。</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一组灯应由三个信号灯组成。这三个信号灯应显示红色、黄色及绿色。</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交通信号灯包括两种型号：方向指示信号与机动车信号灯。对机动车信号灯而言，照亮区域必须形成圆盘形状；对方向指示信号而言，照亮区域必须形成箭头形状，其方向根据施工图及现场道路设计及安装时确定。</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标准：符合中华人民共和国GB14887标准；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外观设计：外观必须为LED光源所设计，结构为超薄化，Φ400mm，透光面的灯具厚度≥140mm，外观与金湖道路上现有信号灯保持一致；</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透光设计：透光镜片的外表面采用倾斜面；</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外壳材料：灯具为铝压铸材料一次压铸</w:t>
      </w:r>
      <w:r>
        <w:rPr>
          <w:rFonts w:hint="eastAsia" w:ascii="宋体" w:hAnsi="宋体" w:cs="宋体"/>
          <w:sz w:val="24"/>
          <w:szCs w:val="24"/>
          <w:highlight w:val="none"/>
          <w:lang w:eastAsia="zh-CN"/>
        </w:rPr>
        <w:t xml:space="preserve">成形</w:t>
      </w:r>
      <w:r>
        <w:rPr>
          <w:rFonts w:hint="eastAsia" w:ascii="宋体" w:hAnsi="宋体" w:eastAsia="宋体" w:cs="宋体"/>
          <w:sz w:val="24"/>
          <w:szCs w:val="24"/>
          <w:lang w:eastAsia="zh-CN"/>
        </w:rPr>
        <w:t xml:space="preserve">，使用寿命≥25年，涂成黑色；</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光源：光源采用四元素超高亮度发光二极管（LED），具有寿命长、功耗低、外观新颖等特点，额定电压：AC176～264V,50HZ ；</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发光强度：符合GB14887-2011标准；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色度：符合GB14887-2011标准；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光源寿命：≥10万小时；</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可视角度：≥30°;</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可视距离：≥400m；</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外壳防护等级：≥IP53；</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耐温：－40℃~+75℃;</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湿热性能：温度为40℃时，空气相对湿度≤93%±2%;</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绝缘电阻：≥10MΩ;</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介电强度：耐压1440VAC；</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防尘：符合GB14887-2011标准；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抗振动：符合GB14887-2011标准；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抗风压：145km/h；</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单灯净重≤25kg。</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灯芯尺寸：≥392（MM),三连体；</w:t>
      </w:r>
      <w:r/>
    </w:p>
    <w:p>
      <w:pPr>
        <w:numPr>
          <w:ilvl w:val="0"/>
          <w:numId w:val="10"/>
        </w:numPr>
        <w:jc w:val="both"/>
        <w:spacing w:line="360" w:lineRule="auto"/>
        <w:rPr>
          <w:rFonts w:hint="eastAsia" w:ascii="宋体" w:hAnsi="宋体" w:eastAsia="宋体" w:cs="宋体"/>
          <w:sz w:val="24"/>
          <w:szCs w:val="24"/>
          <w:lang w:eastAsia="zh-CN"/>
        </w:rPr>
      </w:pPr>
      <w:r>
        <w:rPr>
          <w:spacing w:val="-3"/>
        </w:rPr>
        <w:t xml:space="preserve">▲</w:t>
      </w:r>
      <w:r>
        <w:rPr>
          <w:spacing w:val="-86"/>
        </w:rPr>
        <w:t xml:space="preserve"> </w:t>
      </w:r>
      <w:r>
        <w:rPr>
          <w:rFonts w:hint="eastAsia" w:ascii="宋体" w:hAnsi="宋体" w:eastAsia="宋体" w:cs="宋体"/>
          <w:sz w:val="24"/>
          <w:szCs w:val="24"/>
          <w:lang w:eastAsia="zh-CN"/>
        </w:rPr>
        <w:t xml:space="preserve">单灯功率及功率因数：【箭头灯】功率：红色≤14W、黄色≤14W、绿色≤9W；功率因数：红、黄、绿色均≥0.</w:t>
      </w:r>
      <w:r>
        <w:rPr>
          <w:rFonts w:hint="eastAsia" w:ascii="宋体" w:hAnsi="宋体" w:eastAsia="宋体" w:cs="宋体"/>
          <w:sz w:val="24"/>
          <w:szCs w:val="24"/>
          <w:lang w:val="en-US" w:eastAsia="zh-CN"/>
        </w:rPr>
        <w:t xml:space="preserve">88</w:t>
      </w:r>
      <w:r>
        <w:rPr>
          <w:rFonts w:hint="eastAsia" w:ascii="宋体" w:hAnsi="宋体" w:eastAsia="宋体" w:cs="宋体"/>
          <w:sz w:val="24"/>
          <w:szCs w:val="24"/>
          <w:lang w:eastAsia="zh-CN"/>
        </w:rPr>
        <w:t xml:space="preserve">；【圆盘灯】功率：红色≤13W、黄色≤14W、绿色≤11W；功率因数：红、黄、绿色均≥0.</w:t>
      </w:r>
      <w:r>
        <w:rPr>
          <w:rFonts w:hint="eastAsia" w:ascii="宋体" w:hAnsi="宋体" w:eastAsia="宋体" w:cs="宋体"/>
          <w:sz w:val="24"/>
          <w:szCs w:val="24"/>
          <w:lang w:val="en-US" w:eastAsia="zh-CN"/>
        </w:rPr>
        <w:t xml:space="preserve">88</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（提供国家认可的检测机构出具的检测报告原件扫描件加盖公章上传， 提供的检测报告内容模糊不清导致无法辨别的，按未提供处理）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LED参数：光强：红、黄色≥6000mcd；绿色≥10000mcd；</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波长：红625nm±</w:t>
      </w:r>
      <w:r>
        <w:rPr>
          <w:rFonts w:hint="eastAsia" w:ascii="宋体" w:hAnsi="宋体" w:eastAsia="宋体" w:cs="宋体"/>
          <w:sz w:val="24"/>
          <w:szCs w:val="24"/>
          <w:lang w:val="en-US" w:eastAsia="zh-CN"/>
        </w:rPr>
        <w:t xml:space="preserve">5nm</w:t>
      </w:r>
      <w:r>
        <w:rPr>
          <w:rFonts w:hint="eastAsia" w:ascii="宋体" w:hAnsi="宋体" w:eastAsia="宋体" w:cs="宋体"/>
          <w:sz w:val="24"/>
          <w:szCs w:val="24"/>
          <w:lang w:eastAsia="zh-CN"/>
        </w:rPr>
        <w:t xml:space="preserve">、黄590nm±</w:t>
      </w:r>
      <w:r>
        <w:rPr>
          <w:rFonts w:hint="eastAsia" w:ascii="宋体" w:hAnsi="宋体" w:eastAsia="宋体" w:cs="宋体"/>
          <w:sz w:val="24"/>
          <w:szCs w:val="24"/>
          <w:lang w:val="en-US" w:eastAsia="zh-CN"/>
        </w:rPr>
        <w:t xml:space="preserve">5nm</w:t>
      </w:r>
      <w:r>
        <w:rPr>
          <w:rFonts w:hint="eastAsia" w:ascii="宋体" w:hAnsi="宋体" w:eastAsia="宋体" w:cs="宋体"/>
          <w:sz w:val="24"/>
          <w:szCs w:val="24"/>
          <w:lang w:eastAsia="zh-CN"/>
        </w:rPr>
        <w:t xml:space="preserve">、绿505nm±</w:t>
      </w:r>
      <w:r>
        <w:rPr>
          <w:rFonts w:hint="eastAsia" w:ascii="宋体" w:hAnsi="宋体" w:eastAsia="宋体" w:cs="宋体"/>
          <w:sz w:val="24"/>
          <w:szCs w:val="24"/>
          <w:lang w:val="en-US" w:eastAsia="zh-CN"/>
        </w:rPr>
        <w:t xml:space="preserve">2nm</w:t>
      </w:r>
      <w:r>
        <w:rPr>
          <w:rFonts w:hint="eastAsia" w:ascii="宋体" w:hAnsi="宋体" w:eastAsia="宋体" w:cs="宋体"/>
          <w:sz w:val="24"/>
          <w:szCs w:val="24"/>
          <w:lang w:eastAsia="zh-CN"/>
        </w:rPr>
        <w:t xml:space="preserve">；</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LED数量：（箭头灯）红、黄LED数量不少于120支、绿色不少于108支；（圆盘灯）红、黄LED数量不少于120支、绿色不少于108支；使用寿命≥10万小时</w:t>
      </w:r>
      <w:r>
        <w:rPr>
          <w:rFonts w:hint="eastAsia" w:ascii="宋体" w:hAnsi="宋体" w:cs="宋体"/>
          <w:sz w:val="24"/>
          <w:szCs w:val="24"/>
          <w:lang w:eastAsia="zh-CN"/>
        </w:rPr>
        <w:t xml:space="preserve">。</w:t>
      </w:r>
      <w:r/>
    </w:p>
    <w:p>
      <w:pPr>
        <w:spacing w:line="360" w:lineRule="auto"/>
        <w:rPr>
          <w:rFonts w:ascii="宋体" w:hAnsi="宋体" w:eastAsia="宋体" w:cs="宋体"/>
          <w:b/>
          <w:sz w:val="24"/>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eastAsia="宋体" w:cs="宋体"/>
          <w:b/>
          <w:sz w:val="24"/>
        </w:rPr>
        <w:t xml:space="preserve">行人灯</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标准：符合中华人民共和国GB14887-2011标准；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外观设计：外观必须为LED光源所设计，结构为超薄化，Φ300mm，透光面的灯具厚度为110mm，外观与金湖道路上现有信号灯保持一致；</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透光设计：透光镜片的外表面采用倾斜面设计，能防止透光镜片积累灰尘；</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外壳材料：灯具为铝压铸材料一次压铸</w:t>
      </w:r>
      <w:r>
        <w:rPr>
          <w:rFonts w:hint="eastAsia" w:ascii="宋体" w:hAnsi="宋体" w:cs="宋体"/>
          <w:sz w:val="24"/>
          <w:szCs w:val="24"/>
          <w:highlight w:val="none"/>
          <w:lang w:eastAsia="zh-CN"/>
        </w:rPr>
        <w:t xml:space="preserve">成形</w:t>
      </w:r>
      <w:r>
        <w:rPr>
          <w:rFonts w:hint="eastAsia" w:ascii="宋体" w:hAnsi="宋体" w:eastAsia="宋体" w:cs="宋体"/>
          <w:sz w:val="24"/>
          <w:szCs w:val="24"/>
          <w:lang w:eastAsia="zh-CN"/>
        </w:rPr>
        <w:t xml:space="preserve">，使用寿命≥25年，涂成黑色；</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光源：光源采用四元素超高亮度发光二极管（LED），具有寿命长、功耗低、外观新颖等特点。使用寿命≥10万小时；</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额定电压：AC176～264V,50HZ；</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发光强度：符合GB14887-2011标准；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色度：符合GB14887-2011标准；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光源寿命：≥10万小时；</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可视角度：≥30°；</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可视距离：≥300m；</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外壳防护等级：≥IP53；</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耐温：－40℃～+75℃；</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湿热性能：温度为40℃时，空气相对湿度≤93％±2％；</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绝缘电阻：≥10MΩ；</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介电强度：耐压1440VAC；</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防尘：符合GB14887-2011标准；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抗振动：符合GB14887-2011标准；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抗风压：145km/h；</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红、绿二色行人图案单屏显示（绿色行人图案具有动感，分六个步骤完成动作，图案更形象，逼真）</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单灯功率：红、绿灯均不大于10W；</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LED数量：红LED数量≥75支，绿LED数量≥66支 5腿绿人≥125支；</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波长：红625nm、绿505nm；</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灯芯尺寸：≥292（MM),二连体动态；</w:t>
      </w:r>
      <w:r/>
    </w:p>
    <w:p>
      <w:pPr>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4</w:t>
      </w:r>
      <w:r>
        <w:rPr>
          <w:rFonts w:hint="eastAsia" w:ascii="宋体" w:hAnsi="宋体" w:eastAsia="宋体" w:cs="宋体"/>
          <w:b/>
          <w:sz w:val="24"/>
          <w:lang w:eastAsia="zh-CN"/>
        </w:rPr>
        <w:t xml:space="preserve">、倒计时器</w:t>
      </w:r>
      <w:r/>
    </w:p>
    <w:p>
      <w:pPr>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（1)600*800型通讯式信号倒计时器</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倒计时器符合GA/T508-2014、GB14887-2011标准；</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内置软件、硬件采用看门狗电路，工作稳定可靠；</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外壳采用铝合金结构，工艺精细、外表美观，重量轻，不生锈，防尘，防水，使用寿命≥10年；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光源采用四元素超亮度发光二极管(LED)，亮度高，功耗低，使用寿命大于10万小时；</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采用单片机控制，自动检测信号时间，信号闪烁（例如绿闪）时，不影响数字显示机的正常工作；</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倒计时器控制软件自行设计，具有源代码和自主知识版权，路口运行自适应方式时，内置式倒计时器能适应变化的交通信号配时时间；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倒计时器不会出现倒计时和交通信号灯不同步的情况，保证倒计时器和交通信号控制机无缝配合工作；</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数码显示倒计时器以标准7段码形式显示两位数字，最大显示数字为99。采用封胶处理，具备防水、不积尘功能，每个笔画段内集成红、黄、绿三种独立LED发光管，与信号灯显示颜色一致；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在正常状态下，倒计时器的显示连贯递减，无乱码、丢码等现象；通讯中断时，或者道路交通信号控制机由自动控制转入手动控制时，倒计时器能在2秒之内显示黑屏。当道路交通信号机中断输出，或转入黄闪控制后，倒计时器应能在当前信号相位结束时间内显示黑屏；</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外形要求：外形为方形，外形尺寸美观牢固，遮阳帽伸出长度大于300mm；</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显示数字：字体尺寸为单字高500mm、单字宽250mm，笔划宽不小于50mm，数字间距离大于50mm。考虑到美观，在高、宽方面可作小范围适量调整；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电源范围：电压：AC176V~264V，频率：50HZ±2HZ；</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绝缘性：带电部分和箱体之间绝缘电阻大于10MΩ，绝缘耐压大于1.5KV；</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亮度等级：0度：＞4000坎德拉每平方米，10度：＞1200坎德拉每平方米；</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可视角度：大于30度º；</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LED波长红色：625±5nm；黄色：590±5nm；绿色：505±2nm；</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工作环境温度：－40℃～75℃；</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工作环境湿度：5％～95％；</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平均无故障时间（MTBF）：≥30000H；</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防护等级：≥IP53。</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单灯功率：红、黄、绿均≤20VA；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工作方式 ：支持学习式、通讯式、脉冲式兼容；</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红LED数量：≥392支，黄LED数量：≥168支  绿LED数量：≥280支；</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单灯亮度：红灯、黄灯≥8500cd/㎡；绿灯≥11500cm/㎡；</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灯芯尺寸：515×580（mm）、 外形尺寸：600×800（mm）；</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26、</w:t>
      </w:r>
      <w:r>
        <w:rPr>
          <w:rFonts w:hint="eastAsia" w:ascii="宋体" w:hAnsi="宋体" w:cs="宋体"/>
          <w:sz w:val="24"/>
          <w:szCs w:val="24"/>
          <w:highlight w:val="none"/>
          <w:lang w:val="en-US" w:eastAsia="zh-CN"/>
        </w:rPr>
        <w:t xml:space="preserve">泄漏电流</w:t>
      </w:r>
      <w:r>
        <w:rPr>
          <w:rFonts w:hint="eastAsia" w:ascii="宋体" w:hAnsi="宋体" w:eastAsia="宋体" w:cs="宋体"/>
          <w:sz w:val="24"/>
          <w:szCs w:val="24"/>
          <w:lang w:eastAsia="zh-CN"/>
        </w:rPr>
        <w:t xml:space="preserve">：倒计时器电源各极与壳体之间的泄漏电流≤1MA;</w:t>
      </w:r>
      <w:r/>
    </w:p>
    <w:p>
      <w:pPr>
        <w:numPr>
          <w:ilvl w:val="0"/>
          <w:numId w:val="0"/>
        </w:numPr>
        <w:jc w:val="both"/>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（2）640±50mm*960±50mmLED显示屏</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整屏技术参数：</w:t>
      </w:r>
      <w:r/>
    </w:p>
    <w:p>
      <w:pPr>
        <w:numPr>
          <w:ilvl w:val="0"/>
          <w:numId w:val="13"/>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外形尺寸：(640±50mm)*(960±50mm)*(100±10mm)；</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箱体材质：冷轧钢板防锈喷塑处理；</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整机重量：约30KG；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额定功率：500W；</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工作电压：AC187~253V，50/60Hz；</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工作温度：-40~+75℃；</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防护湿度：＜75%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防护等级：IP54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发光亮度：红色单管＞2800mcd，绿色单管＞4200mcd；</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发光波长：红色（620~625nm），绿色（504~508nm）；</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LED使用寿命：＞5W小时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可视距离：≥300m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排列方式：点阵式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工作方式：学习式、通讯式、脉冲式、倒9秒式；</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制造标准：GAT508-2014、SJ/T 11141—2012；</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子模块参数：</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（A)P10双色模组：</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1、户外P10恒流四扫双色模组主要是由红色LED、绿色LED组成矩阵，然后再固定到塑胶套件上而成； </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2、此模组含有驱动芯片和输入缓冲芯片，连接到LED显示屏控制系统即可显示视频、图像和文字信息等； </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3、通过OE信号驱动红色LED、绿色LED的驱动芯片，可形成65,536种颜色变换；</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4、此模组可以按水平和垂直方向任意拼接，从而拼成不同大小的显示屏；</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综合：用高亮度的LED和优质的塑胶件；高对比度可达到良好的显示效果；重量轻易于安装、拆卸；采用恒流方式驱动LED，发光均匀，功耗低；像素间距为10mm，共有32*16个像素点，每个像素点由1R1G组成。</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扫描方式：1/4扫描；</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结构特点：灯驱合一；</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点间距：10MM;</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模组尺寸：320*160；</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像素密度：10000点/M2;</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亮度：不小于3000CD/M2;</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最大电流：3.2A;</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最佳视距：不小于10M;</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可视角度：水平80°、垂直45°；</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(B)显示屏电源模块：</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1、规格尺寸：199*110*50MM;</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2、可靠性：可靠性高、带载能力强；</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3、保护功能：过载/短路保护；</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4、输入电压/输入频率：176-264vAC/47-63HZ;</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5、浪涌电流：冷启动，40A/230VAC;</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6、输入过载保护：110%-150%切断输出，输入重启后；</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7、上升保持时间：50MS,20MS额定满载；</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8、工作温度：-30°C---+60°C；</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(C)主控板模块：</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1、内置软件、硬件采用看门狗电路，工作稳定可靠;</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2、采用单片机控制，自动检测信号时间，信号闪烁（例如绿闪）时，不影响数字显示机的正常工作；</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3、控制软件自行设计，路口运行自适应方式时，内置式倒计时器能适应变化的交通信号配时时间,运行呈9秒显示；</w:t>
      </w:r>
      <w:r/>
    </w:p>
    <w:p>
      <w:pPr>
        <w:jc w:val="both"/>
        <w:spacing w:line="360" w:lineRule="auto"/>
        <w:widowControl w:val="off"/>
        <w:rPr>
          <w:rFonts w:hint="default" w:eastAsia="宋体"/>
          <w:b/>
          <w:bCs/>
          <w:color w:val="ff0000"/>
          <w:highlight w:val="yellow"/>
          <w:lang w:val="en-US" w:eastAsia="zh-CN"/>
        </w:rPr>
      </w:pPr>
      <w:r>
        <w:rPr>
          <w:rFonts w:hint="eastAsia" w:ascii="宋体" w:hAnsi="宋体" w:eastAsia="宋体" w:cs="宋体"/>
          <w:sz w:val="24"/>
          <w:szCs w:val="24"/>
          <w:lang w:eastAsia="zh-CN"/>
        </w:rPr>
        <w:t xml:space="preserve">4、支持多种通信方式（串口、网口、蓝牙、WIFI等）现场或远程对LED显示屏进行信息编辑；</w:t>
      </w:r>
      <w:r/>
    </w:p>
    <w:p>
      <w:pPr>
        <w:pStyle w:val="1100"/>
        <w:numPr>
          <w:ilvl w:val="0"/>
          <w:numId w:val="15"/>
        </w:numPr>
        <w:spacing w:line="360" w:lineRule="auto"/>
        <w:rPr>
          <w:rFonts w:hint="eastAsia" w:ascii="宋体" w:hAnsi="宋体" w:eastAsia="宋体" w:cs="宋体"/>
          <w:b/>
          <w:bCs/>
        </w:rPr>
      </w:pPr>
      <w:r>
        <w:rPr>
          <w:rFonts w:hint="eastAsia" w:ascii="宋体" w:hAnsi="宋体" w:eastAsia="宋体" w:cs="宋体"/>
          <w:b/>
          <w:bCs/>
        </w:rPr>
        <w:t xml:space="preserve">智能交通管控抓拍系统</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2.1、</w:t>
      </w:r>
      <w:r>
        <w:rPr>
          <w:rFonts w:hint="eastAsia" w:ascii="宋体" w:hAnsi="宋体" w:eastAsia="宋体" w:cs="宋体"/>
          <w:b/>
          <w:bCs/>
          <w:sz w:val="24"/>
        </w:rPr>
        <w:t xml:space="preserve">900万电警抓拍单元</w:t>
      </w:r>
      <w:r>
        <w:rPr>
          <w:rFonts w:hint="eastAsia" w:ascii="宋体" w:hAnsi="宋体" w:eastAsia="宋体" w:cs="宋体"/>
          <w:b/>
          <w:bCs/>
          <w:sz w:val="24"/>
          <w:lang w:eastAsia="zh-CN"/>
        </w:rPr>
        <w:t xml:space="preserve">（核心产品）</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（1）包含高清一体化嵌入式摄像机、高清镜头、室外防护罩、相机内置网络信号防雷器、电源适配器等；</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b/>
          <w:sz w:val="24"/>
          <w:lang w:eastAsia="zh-CN"/>
        </w:rPr>
        <w:t xml:space="preserve">★</w:t>
      </w:r>
      <w:r>
        <w:rPr>
          <w:rFonts w:hint="eastAsia" w:ascii="宋体" w:hAnsi="宋体" w:eastAsia="宋体" w:cs="宋体"/>
          <w:sz w:val="24"/>
          <w:lang w:eastAsia="zh-CN"/>
        </w:rPr>
        <w:t xml:space="preserve">图像传感器：1英寸CMOS（GMOS）传感器；</w:t>
      </w:r>
      <w:r/>
    </w:p>
    <w:p>
      <w:pPr>
        <w:spacing w:line="360" w:lineRule="auto"/>
        <w:widowControl w:val="off"/>
        <w:rPr>
          <w:rFonts w:ascii="宋体" w:hAnsi="宋体" w:eastAsia="宋体" w:cs="宋体"/>
          <w:sz w:val="24"/>
          <w:lang w:eastAsia="zh-CN"/>
        </w:rPr>
      </w:pP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（3）支持主码流同时输出不少于30路4096×2160、2Mbps的25帧/s图像以提供客户端浏览；</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（4）最大图像尺寸：≥4096×2160像素；字符叠加时最大可支持4096×2800；</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（5）视频帧率：在1～25fps可调；</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（6）护罩玻璃透光率≥99%，外壳防护等级应不低于IP66；</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（7）视频压缩支持H.265、H.264、M-JPEG；</w:t>
      </w:r>
      <w:r/>
    </w:p>
    <w:p>
      <w:pPr>
        <w:spacing w:line="360" w:lineRule="auto"/>
        <w:widowControl w:val="off"/>
        <w:rPr>
          <w:rFonts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ascii="宋体" w:hAnsi="宋体" w:eastAsia="宋体" w:cs="宋体"/>
          <w:spacing w:val="-1"/>
          <w:sz w:val="24"/>
          <w:szCs w:val="24"/>
        </w:rPr>
        <w:t xml:space="preserve">▲</w:t>
      </w:r>
      <w:r>
        <w:rPr>
          <w:rFonts w:ascii="宋体" w:hAnsi="宋体" w:eastAsia="宋体" w:cs="宋体"/>
          <w:spacing w:val="-80"/>
          <w:sz w:val="24"/>
          <w:szCs w:val="24"/>
        </w:rPr>
        <w:t xml:space="preserve"> </w:t>
      </w:r>
      <w:r>
        <w:rPr>
          <w:rFonts w:hint="eastAsia" w:ascii="宋体" w:hAnsi="宋体" w:eastAsia="宋体" w:cs="宋体"/>
          <w:sz w:val="24"/>
          <w:lang w:eastAsia="zh-CN"/>
        </w:rPr>
        <w:t xml:space="preserve">支持对不按导向</w:t>
      </w:r>
      <w:r>
        <w:rPr>
          <w:rFonts w:hint="eastAsia" w:ascii="宋体" w:hAnsi="宋体" w:eastAsia="宋体" w:cs="宋体"/>
          <w:sz w:val="24"/>
          <w:lang w:val="en-US" w:eastAsia="zh-CN"/>
        </w:rPr>
        <w:t xml:space="preserve">车道行驶</w:t>
      </w:r>
      <w:r>
        <w:rPr>
          <w:rFonts w:hint="eastAsia" w:ascii="宋体" w:hAnsi="宋体" w:eastAsia="宋体" w:cs="宋体"/>
          <w:sz w:val="24"/>
          <w:lang w:eastAsia="zh-CN"/>
        </w:rPr>
        <w:t xml:space="preserve">抓拍，白天和晚上的捕获率均≥9</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%，白天和晚上的准确率均≥9</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w:t>
      </w:r>
      <w:r>
        <w:rPr>
          <w:rFonts w:ascii="宋体" w:hAnsi="宋体" w:eastAsia="宋体" w:cs="宋体"/>
          <w:spacing w:val="-1"/>
          <w:sz w:val="24"/>
          <w:szCs w:val="24"/>
        </w:rPr>
        <w:t xml:space="preserve">▲</w:t>
      </w:r>
      <w:r>
        <w:rPr>
          <w:rFonts w:ascii="宋体" w:hAnsi="宋体" w:eastAsia="宋体" w:cs="宋体"/>
          <w:spacing w:val="-80"/>
          <w:sz w:val="24"/>
          <w:szCs w:val="24"/>
        </w:rPr>
        <w:t xml:space="preserve"> </w:t>
      </w:r>
      <w:r>
        <w:rPr>
          <w:rFonts w:hint="eastAsia" w:ascii="宋体" w:hAnsi="宋体" w:eastAsia="宋体" w:cs="宋体"/>
          <w:sz w:val="24"/>
          <w:lang w:eastAsia="zh-CN"/>
        </w:rPr>
        <w:t xml:space="preserve">支持闯红灯抓拍功能，白天和晚上闯红灯的捕获率均≥9</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）支持车距违章抓拍功能，当两车距离小于50米，则抓拍后车为违章；</w:t>
      </w:r>
      <w:r/>
    </w:p>
    <w:p>
      <w:pPr>
        <w:spacing w:line="360" w:lineRule="auto"/>
        <w:rPr>
          <w:rFonts w:ascii="宋体" w:hAnsi="宋体" w:eastAsia="宋体" w:cs="宋体"/>
          <w:b/>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）支持禁左、禁右、禁止掉头违章抓拍；支持禁货、禁拖拉机、禁农用车、禁大客车、禁拖/挂车通行等违章抓拍；</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）支持压线（压实线、压单黄线、压双黄线）、逆行、占用应急车道、黄网格违停、加塞等违章检测；</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）可显示设定区域内各像素点的RGB分量值；</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）设备可识别351种机动车品牌标志，白天识别准确率≥99%，夜晚识别准确率≥99%，</w:t>
      </w:r>
      <w:r/>
    </w:p>
    <w:p>
      <w:pP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lang w:eastAsia="zh-CN"/>
        </w:rPr>
        <w:t xml:space="preserve">）支持车牌识别功能，白天和晚上的识别准确率均≥99%；</w:t>
      </w:r>
      <w:r/>
    </w:p>
    <w:p>
      <w:pP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CN"/>
        </w:rPr>
        <w:t xml:space="preserve">）支持异常车牌检测功能，可对故意遮挡及污损车牌进行判断和识别；</w:t>
      </w:r>
      <w:r/>
    </w:p>
    <w:p>
      <w:pPr>
        <w:spacing w:line="36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17</w:t>
      </w:r>
      <w:r>
        <w:rPr>
          <w:rFonts w:ascii="宋体" w:hAnsi="宋体" w:eastAsia="宋体" w:cs="宋体"/>
          <w:spacing w:val="-2"/>
          <w:sz w:val="24"/>
          <w:szCs w:val="24"/>
        </w:rPr>
        <w:t xml:space="preserve">）支持摩托车闯红灯、不按导向、闯禁令等违法行为抓拍；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18</w:t>
      </w:r>
      <w:r>
        <w:rPr>
          <w:rFonts w:ascii="宋体" w:hAnsi="宋体" w:eastAsia="宋体" w:cs="宋体"/>
          <w:spacing w:val="-2"/>
          <w:sz w:val="24"/>
          <w:szCs w:val="24"/>
        </w:rPr>
        <w:t xml:space="preserve">）</w:t>
      </w:r>
      <w:r>
        <w:rPr>
          <w:rFonts w:ascii="宋体" w:hAnsi="宋体" w:eastAsia="宋体" w:cs="宋体"/>
          <w:spacing w:val="-2"/>
          <w:sz w:val="24"/>
          <w:szCs w:val="24"/>
          <w:lang w:val="en-US" w:eastAsia="en-US"/>
        </w:rPr>
        <w:t xml:space="preserve">支持检测并跟踪指定区域内不少于200个目标, 目标包括机动车、非机动车以及行人等；未叠加字符信息抓图分辨率：4096像素×2160像素；叠加字符信息抓图分辨率：4096像</w:t>
      </w:r>
      <w:r>
        <w:rPr>
          <w:rFonts w:hint="eastAsia" w:ascii="宋体" w:hAnsi="宋体" w:eastAsia="宋体" w:cs="宋体"/>
          <w:spacing w:val="-2"/>
          <w:sz w:val="24"/>
          <w:szCs w:val="24"/>
          <w:lang w:val="en-US" w:eastAsia="zh-CN"/>
        </w:rPr>
        <w:t xml:space="preserve">素</w:t>
      </w:r>
      <w:r>
        <w:rPr>
          <w:rFonts w:ascii="宋体" w:hAnsi="宋体" w:eastAsia="宋体" w:cs="宋体"/>
          <w:spacing w:val="-2"/>
          <w:sz w:val="24"/>
          <w:szCs w:val="24"/>
          <w:lang w:val="en-US" w:eastAsia="en-US"/>
        </w:rPr>
        <w:t xml:space="preserve">×4312像素；支持根据现场违章抓拍需求通过web界面设置事件优先度，事件优先度1~16可设，设置后可按事件优先度进行违章抓拍及图片存储；</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19</w:t>
      </w:r>
      <w:r>
        <w:rPr>
          <w:rFonts w:ascii="宋体" w:hAnsi="宋体" w:eastAsia="宋体" w:cs="宋体"/>
          <w:spacing w:val="-2"/>
          <w:sz w:val="24"/>
          <w:szCs w:val="24"/>
          <w:lang w:val="en-US" w:eastAsia="en-US"/>
        </w:rPr>
        <w:t xml:space="preserve">）感兴趣区域增强编码功能检查：支持24块感兴趣区域(ROI)增强编码功能，ROI区域压缩比0～100可设置；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宋体"/>
          <w:spacing w:val="-2"/>
          <w:sz w:val="24"/>
          <w:szCs w:val="24"/>
          <w:lang w:val="en-US" w:eastAsia="zh-CN"/>
        </w:rPr>
        <w:t xml:space="preserve">；</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20</w:t>
      </w:r>
      <w:r>
        <w:rPr>
          <w:rFonts w:ascii="宋体" w:hAnsi="宋体" w:eastAsia="宋体" w:cs="宋体"/>
          <w:spacing w:val="-1"/>
          <w:sz w:val="24"/>
          <w:szCs w:val="24"/>
        </w:rPr>
        <w:t xml:space="preserve">）</w:t>
      </w:r>
      <w:r>
        <w:rPr>
          <w:rFonts w:ascii="宋体" w:hAnsi="宋体" w:eastAsia="宋体" w:cs="宋体"/>
          <w:sz w:val="24"/>
          <w:szCs w:val="24"/>
        </w:rPr>
        <w:t xml:space="preserve">支持通过视频触发进行车辆抓拍；支持车牌识别、车身颜色识别</w:t>
      </w:r>
      <w:r>
        <w:rPr>
          <w:rFonts w:ascii="宋体" w:hAnsi="宋体" w:eastAsia="宋体" w:cs="宋体"/>
          <w:spacing w:val="-2"/>
          <w:sz w:val="24"/>
          <w:szCs w:val="24"/>
          <w:lang w:val="en-US" w:eastAsia="en-US"/>
        </w:rPr>
        <w:t xml:space="preserve">、车型识别，通行车辆信息捕获和违章检测功能。</w:t>
      </w:r>
      <w:r/>
    </w:p>
    <w:p>
      <w:pPr>
        <w:spacing w:line="360" w:lineRule="auto"/>
        <w:widowControl w:val="off"/>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en-US"/>
        </w:rPr>
        <w:t xml:space="preserve">)设备可识别通过监视画面中的机动车车牌号码，包括大型汽车号牌、挂车号牌、大型新能源汽车号牌、小型汽车号牌、小型新能源汽车号牌、武警车牌、军牌、港澳入出境车号牌、使馆汽车号牌、教练汽车号牌、民航车牌。</w:t>
      </w:r>
      <w:r/>
    </w:p>
    <w:p>
      <w:pPr>
        <w:spacing w:line="360" w:lineRule="auto"/>
        <w:rPr>
          <w:rFonts w:ascii="宋体" w:hAnsi="宋体" w:eastAsia="宋体" w:cs="宋体"/>
          <w:sz w:val="24"/>
          <w:lang w:eastAsia="zh-CN"/>
        </w:rPr>
      </w:pPr>
      <w:r>
        <w:rPr>
          <w:rFonts w:hint="eastAsia" w:ascii="宋体" w:hAnsi="宋体" w:eastAsia="宋体" w:cs="宋体"/>
          <w:b/>
          <w:bCs/>
          <w:sz w:val="24"/>
          <w:lang w:eastAsia="zh-CN"/>
        </w:rPr>
        <w:t xml:space="preserve">2.2、900万高清生态环保卡口抓拍单元</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（1）包含高清一体化嵌入式摄像机、高清镜头、室外防护罩、电源适配器等；</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（2）靶面尺寸≥1英寸；</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（3)支持人脸区域自动曝光，可根据人脸区域光照变化自动调节人脸区域曝光参数；支持通过浏览器设置人脸自动曝光参数亮度、最短持续时间和人脸过滤时间；</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(4)支持主码流同时输出不少于30路4096×2160、2Mbps的25帧/s图像以供客户端浏览；最大图像尺寸：≥4096×2160像素；字符叠加时最大可支持4096×2800，视频帧率在1～25fps可调；</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(5)▲支持车辆抓拍捕获功能，白天和晚上的捕获率均≥95%；</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6</w:t>
      </w:r>
      <w:r>
        <w:rPr>
          <w:rFonts w:ascii="宋体" w:hAnsi="宋体" w:eastAsia="宋体" w:cs="宋体"/>
          <w:spacing w:val="-2"/>
          <w:sz w:val="24"/>
          <w:szCs w:val="24"/>
          <w:lang w:val="en-US" w:eastAsia="en-US"/>
        </w:rPr>
        <w:t xml:space="preserve">）支持根据现场违章抓拍需求通过web界面设置事件优先度，事件优先度1～17可设，设置后可按事件优先度进行违章抓拍及图片存储；</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7</w:t>
      </w:r>
      <w:r>
        <w:rPr>
          <w:rFonts w:ascii="宋体" w:hAnsi="宋体" w:eastAsia="宋体" w:cs="宋体"/>
          <w:spacing w:val="-2"/>
          <w:sz w:val="24"/>
          <w:szCs w:val="24"/>
          <w:lang w:val="en-US" w:eastAsia="en-US"/>
        </w:rPr>
        <w:t xml:space="preserve">)支持26块感兴趣区域(ROI)增强编码功能，ROI区域压缩0～100可设置；</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lang w:val="en-US" w:eastAsia="en-US"/>
        </w:rPr>
        <w:t xml:space="preserve">）▲在补光环境下，开启图像低照增强功能后，车内人员、车辆车身颜色、车辆号牌可辨。</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9</w:t>
      </w:r>
      <w:r>
        <w:rPr>
          <w:rFonts w:ascii="宋体" w:hAnsi="宋体" w:eastAsia="宋体" w:cs="宋体"/>
          <w:spacing w:val="-2"/>
          <w:sz w:val="24"/>
          <w:szCs w:val="24"/>
          <w:lang w:val="en-US" w:eastAsia="en-US"/>
        </w:rPr>
        <w:t xml:space="preserve">）支持在同一视频画面中，可检测、跟踪不小于130个运动人体目标，且抓拍不小于85个运动人脸目标。</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w:t>
      </w:r>
      <w:r>
        <w:rPr>
          <w:rFonts w:hint="eastAsia" w:ascii="宋体" w:hAnsi="宋体" w:eastAsia="宋体" w:cs="宋体"/>
          <w:spacing w:val="-2"/>
          <w:sz w:val="24"/>
          <w:szCs w:val="24"/>
          <w:lang w:val="en-US" w:eastAsia="zh-CN"/>
        </w:rPr>
        <w:t xml:space="preserve">0</w:t>
      </w:r>
      <w:r>
        <w:rPr>
          <w:rFonts w:ascii="宋体" w:hAnsi="宋体" w:eastAsia="宋体" w:cs="宋体"/>
          <w:spacing w:val="-2"/>
          <w:sz w:val="24"/>
          <w:szCs w:val="24"/>
          <w:lang w:val="en-US" w:eastAsia="en-US"/>
        </w:rPr>
        <w:t xml:space="preserve">）★甲方有权对最终采购设备进行测试检验，检测内容如下：900万卡口配套的补光灯在符合项目要求的参数基础上并保证现场补光灯满足一级补光装置要求的瞬间有效光照度不高于80Lux，相机覆盖1-2个车道，抓拍过车图片要求车牌清晰，车身颜色无偏色，车内人脸满足人像平台比对需求，满足甲方实战业务应用，若所采购设备不满足招标要求，甲方有权终止合同，并报相关部门进行处理。</w:t>
      </w:r>
      <w:r>
        <w:rPr>
          <w:rFonts w:hint="eastAsia" w:ascii="宋体" w:hAnsi="宋体" w:eastAsia="宋体" w:cs="宋体"/>
          <w:b/>
          <w:sz w:val="24"/>
          <w:lang w:val="en-US" w:eastAsia="en-US"/>
        </w:rPr>
        <w:t xml:space="preserve">（提供承诺书加盖公章上传</w:t>
      </w:r>
      <w:r>
        <w:rPr>
          <w:rFonts w:hint="eastAsia" w:ascii="宋体" w:hAnsi="宋体" w:cs="宋体"/>
          <w:b/>
          <w:bCs w:val="0"/>
          <w:sz w:val="24"/>
          <w:lang w:val="en-US" w:eastAsia="zh-CN"/>
        </w:rPr>
        <w:t xml:space="preserve">，</w:t>
      </w:r>
      <w:r>
        <w:rPr>
          <w:rFonts w:ascii="宋体" w:hAnsi="宋体" w:eastAsia="宋体" w:cs="宋体"/>
          <w:b/>
          <w:bCs w:val="0"/>
          <w:spacing w:val="-2"/>
          <w:sz w:val="24"/>
          <w:szCs w:val="24"/>
          <w:lang w:val="en-US" w:eastAsia="en-US"/>
        </w:rPr>
        <w:t xml:space="preserve">承诺书格式自拟</w:t>
      </w:r>
      <w:r>
        <w:rPr>
          <w:rFonts w:hint="eastAsia" w:ascii="宋体" w:hAnsi="宋体" w:eastAsia="宋体" w:cs="宋体"/>
          <w:b/>
          <w:bCs w:val="0"/>
          <w:sz w:val="24"/>
          <w:lang w:val="en-US" w:eastAsia="en-US"/>
        </w:rPr>
        <w:t xml:space="preserve">）</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3</w:t>
      </w:r>
      <w:r>
        <w:rPr>
          <w:rFonts w:hint="eastAsia" w:ascii="宋体" w:hAnsi="宋体" w:eastAsia="宋体" w:cs="宋体"/>
          <w:b/>
          <w:bCs/>
          <w:sz w:val="24"/>
          <w:lang w:eastAsia="zh-CN"/>
        </w:rPr>
        <w:t xml:space="preserve">、高清智能监控球机</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摄像机内置不少于3个镜头，可输出至少一路全景视频和一路细节视频，其中全景内置不少于2个镜头，细节内置1个镜头，全景内置2个镜头，光圈不小于F1.0，具有不小于1/1.8靶面尺寸，内置4颗补光灯，细节内置1个镜头，具备不小于1/1.8靶面尺寸，内置6颗红外补光灯及1颗白光灯；细节通道内置镜头，支持不小于25倍光学变倍，镜头最大焦距不小于135mm；</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(2)全景通道可输出两个镜头无缝拼接的全景图像，拼接偏差像素不大于4个像素，全景画面水平视场角不小于190 °;</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(3)全景通道可进行垂直旋转，旋转范围不低于12 °可调；</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(4)摄像机可在预览画面及抓拍图片中叠加人员和车辆的移动轨迹，轨迹颜色支持红色、黄色、蓝色、绿色、及紫色，轨迹末尾具有一个方向箭头，指向目标离开的方向，抓拍图片大小不大于500KB；</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(5)红外距离不小于200米；</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(6)支持水平旋转范围360 °连续旋转，垂直旋转范围-20 °~90 °;</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(7)具备声音报警输出功能</w:t>
      </w:r>
      <w:r>
        <w:rPr>
          <w:rFonts w:hint="eastAsia" w:ascii="宋体" w:hAnsi="宋体" w:eastAsia="宋体" w:cs="宋体"/>
          <w:spacing w:val="-2"/>
          <w:sz w:val="24"/>
          <w:szCs w:val="24"/>
          <w:lang w:val="en-US" w:eastAsia="zh-CN"/>
        </w:rPr>
        <w:t xml:space="preserve">,</w:t>
      </w:r>
      <w:r>
        <w:rPr>
          <w:rFonts w:ascii="宋体" w:hAnsi="宋体" w:eastAsia="宋体" w:cs="宋体"/>
          <w:spacing w:val="-2"/>
          <w:sz w:val="24"/>
          <w:szCs w:val="24"/>
          <w:lang w:val="en-US" w:eastAsia="en-US"/>
        </w:rPr>
        <w:t xml:space="preserve">可设置11种警戒音、提示音、自定义语音，报警次数1～50次可设；可通过区域入侵侦测、越界侦测、进入区域侦测、离开区域侦测等报警事件，联动声音报警；</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(8)当人或车辆进入警戒区域后，可发出白光警示、声音警示，并启动智能跟踪功能；</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(9)★内置不少于2个GPU芯片；</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(10)全景路视频图像分辨率不小于3632×1080，细节路视频图像分辨率不小于2560×1440；</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(11)全景通道和细节通道镜头支持最低照度可达彩色0.0002</w:t>
      </w:r>
      <w:r>
        <w:rPr>
          <w:rFonts w:hint="eastAsia" w:ascii="宋体" w:hAnsi="宋体" w:eastAsia="宋体" w:cs="宋体"/>
          <w:spacing w:val="-2"/>
          <w:sz w:val="24"/>
          <w:szCs w:val="24"/>
          <w:lang w:val="en-US" w:eastAsia="zh-CN"/>
        </w:rPr>
        <w:t xml:space="preserve">l</w:t>
      </w:r>
      <w:r>
        <w:rPr>
          <w:rFonts w:ascii="宋体" w:hAnsi="宋体" w:eastAsia="宋体" w:cs="宋体"/>
          <w:spacing w:val="-2"/>
          <w:sz w:val="24"/>
          <w:szCs w:val="24"/>
          <w:lang w:val="en-US" w:eastAsia="en-US"/>
        </w:rPr>
        <w:t xml:space="preserve">x，黑白0.0001</w:t>
      </w:r>
      <w:r>
        <w:rPr>
          <w:rFonts w:hint="eastAsia" w:ascii="宋体" w:hAnsi="宋体" w:eastAsia="宋体" w:cs="宋体"/>
          <w:spacing w:val="-2"/>
          <w:sz w:val="24"/>
          <w:szCs w:val="24"/>
          <w:lang w:val="en-US" w:eastAsia="zh-CN"/>
        </w:rPr>
        <w:t xml:space="preserve">l</w:t>
      </w:r>
      <w:r>
        <w:rPr>
          <w:rFonts w:ascii="宋体" w:hAnsi="宋体" w:eastAsia="宋体" w:cs="宋体"/>
          <w:spacing w:val="-2"/>
          <w:sz w:val="24"/>
          <w:szCs w:val="24"/>
          <w:lang w:val="en-US" w:eastAsia="en-US"/>
        </w:rPr>
        <w:t xml:space="preserve">x；</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（12）摄像机具备AR标签管理功能，可对监控区域的常规点位、卡口点位、人脸点位、重点道路等进行标签标注，最多可添加500个标签；</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(13)支持同时检测监控场景内出现的不少于30张人脸，并可进行抓拍</w:t>
      </w:r>
      <w:r>
        <w:rPr>
          <w:rFonts w:hint="eastAsia" w:ascii="宋体" w:hAnsi="宋体" w:eastAsia="宋体" w:cs="宋体"/>
          <w:spacing w:val="-2"/>
          <w:sz w:val="24"/>
          <w:szCs w:val="24"/>
          <w:lang w:val="en-US" w:eastAsia="zh-CN"/>
        </w:rPr>
        <w:t xml:space="preserve">。</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4</w:t>
      </w:r>
      <w:r>
        <w:rPr>
          <w:rFonts w:hint="eastAsia" w:ascii="宋体" w:hAnsi="宋体" w:eastAsia="宋体" w:cs="宋体"/>
          <w:b/>
          <w:bCs/>
          <w:sz w:val="24"/>
          <w:lang w:eastAsia="zh-CN"/>
        </w:rPr>
        <w:t xml:space="preserve">、LED频闪补光灯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16颗原装大功率白光（暖光）LED频闪灯；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（1）单次闪光能量≥200J；</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（2）色温＞4000K；</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（3）支持5V电平量触发(可选开关量)；</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（4）闪光次数≥2000万次；</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（5）最佳补光距离16m～25m；</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（6）具有脉冲保护功能；</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（7）1路RS485接口、1路频闪输入接口、1路爆闪输入接口、1路同步输出接口；</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（8）补光灯自带光敏控制，在低照度下自动开启；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（9）可通过RS485远程控制补光灯的亮度，开启/关闭；</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（10）回电时间应≤50ms；</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（11）最大功耗＜300W；</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（12）在-30℃~70℃温度范围内均能正常工作；</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（13）防护等级IP66；</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多</w:t>
      </w:r>
      <w:r>
        <w:rPr>
          <w:rFonts w:hint="eastAsia" w:ascii="宋体" w:hAnsi="宋体" w:eastAsia="宋体" w:cs="宋体"/>
          <w:b/>
          <w:bCs/>
          <w:sz w:val="24"/>
          <w:lang w:eastAsia="zh-CN"/>
        </w:rPr>
        <w:t xml:space="preserve">合一补光灯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（1）设备由光源、外壳、安装基座等组成；</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（2）内置不少于24颗原装高亮度LED芯片</w:t>
      </w:r>
      <w:r>
        <w:rPr>
          <w:rFonts w:hint="eastAsia" w:ascii="宋体" w:hAnsi="宋体" w:eastAsia="宋体" w:cs="宋体"/>
          <w:spacing w:val="-2"/>
          <w:sz w:val="24"/>
          <w:szCs w:val="24"/>
          <w:lang w:val="en-US" w:eastAsia="zh-CN"/>
        </w:rPr>
        <w:t xml:space="preserve">,</w:t>
      </w:r>
      <w:r>
        <w:rPr>
          <w:rFonts w:ascii="宋体" w:hAnsi="宋体" w:eastAsia="宋体" w:cs="宋体"/>
          <w:spacing w:val="-2"/>
          <w:sz w:val="24"/>
          <w:szCs w:val="24"/>
          <w:lang w:val="en-US" w:eastAsia="en-US"/>
        </w:rPr>
        <w:t xml:space="preserve">寿命长，稳定性好，发光效率高；</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（3）气体灯管采用专业设计特定灯管，质量可靠，寿命长；</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 经专业光学设计，发光均匀，目标光斑显明，有效减少光污染；</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（5）采用步进电机功能，实现红外滤片的切换；</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（6）LED控制采用先进的恒流驱动技术，电流控制准确、稳定，产品稳定性好、可靠性高，有效减少光衰；设备需自带LED格栅，有效减少周边光污染；</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（7）气体光源回电时间小于67ms，支持超速连拍；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（8）气体补光控制具有峰值抑制功能；</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（9）需同时支持LED频闪、白光爆闪，红外爆闪；</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（10）支持相机误触发保护功能，触发信号输入异常时自动保护、且自动恢复；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（11）结构采用IP65设计；</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（12）电源：AC220V±10%；</w:t>
      </w:r>
      <w:r/>
    </w:p>
    <w:p>
      <w:pPr>
        <w:spacing w:line="360" w:lineRule="auto"/>
        <w:widowControl w:val="off"/>
        <w:rPr>
          <w:rFonts w:hint="eastAsia" w:ascii="宋体" w:hAnsi="宋体" w:eastAsia="宋体" w:cs="宋体"/>
          <w:b/>
          <w:sz w:val="24"/>
          <w:lang w:val="en-US" w:eastAsia="zh-CN"/>
        </w:rPr>
      </w:pPr>
      <w:r>
        <w:rPr>
          <w:rFonts w:ascii="宋体" w:hAnsi="宋体" w:eastAsia="宋体" w:cs="宋体"/>
          <w:spacing w:val="-2"/>
          <w:sz w:val="24"/>
          <w:szCs w:val="24"/>
          <w:lang w:val="en-US" w:eastAsia="en-US"/>
        </w:rPr>
        <w:t xml:space="preserve">（13)★设备需符合《交通技术监控成像补光装置通用技术条件》（GA/T 1202-2022）相关规定。</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2.6</w:t>
      </w:r>
      <w:r>
        <w:rPr>
          <w:rFonts w:hint="eastAsia" w:ascii="宋体" w:hAnsi="宋体" w:eastAsia="宋体" w:cs="宋体"/>
          <w:b/>
          <w:bCs/>
          <w:sz w:val="24"/>
          <w:lang w:eastAsia="zh-CN"/>
        </w:rPr>
        <w:t xml:space="preserve">、</w:t>
      </w:r>
      <w:r>
        <w:rPr>
          <w:rFonts w:hint="eastAsia" w:ascii="宋体" w:hAnsi="宋体" w:eastAsia="宋体" w:cs="宋体"/>
          <w:b/>
          <w:color w:val="auto"/>
          <w:sz w:val="24"/>
          <w:lang w:val="en-US" w:eastAsia="zh-CN"/>
        </w:rPr>
        <w:t xml:space="preserve">红绿灯信号检测器</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(1)支持1个RS485接口，≥20个输入接口</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(2)支持通过配置工具设置红灯检测模式/绿灯检测模式</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(3)支持接入20路红/绿灯信号，进行输入通断检测；</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(4)支持通过配置工具设置交换机网关，并开启ping功能，用来监测网络状态</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(5)支持记录最多1700条日志，并通过配置工具查询设备的操作日志、校时日志、ping成功/失败日志、红/绿灯输入信号异常及异常恢复等日志，用于查询设备的操作记录及异常情况</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(6)支持通过配置工具设置NTP校时/同步PC时间</w:t>
      </w:r>
      <w:r>
        <w:rPr>
          <w:rFonts w:hint="eastAsia" w:ascii="宋体" w:hAnsi="宋体" w:eastAsia="宋体" w:cs="宋体"/>
          <w:color w:val="auto"/>
          <w:spacing w:val="-2"/>
          <w:sz w:val="24"/>
          <w:szCs w:val="24"/>
          <w:lang w:val="en-US" w:eastAsia="zh-CN"/>
        </w:rPr>
        <w:t xml:space="preserve">。</w:t>
      </w:r>
      <w:r/>
    </w:p>
    <w:p>
      <w:pPr>
        <w:pStyle w:val="1100"/>
        <w:numPr>
          <w:ilvl w:val="0"/>
          <w:numId w:val="15"/>
        </w:numPr>
        <w:spacing w:line="360" w:lineRule="auto"/>
        <w:rPr>
          <w:rFonts w:hint="eastAsia" w:ascii="宋体" w:hAnsi="宋体" w:eastAsia="宋体" w:cs="宋体"/>
          <w:b/>
          <w:bCs/>
        </w:rPr>
      </w:pPr>
      <w:r>
        <w:rPr>
          <w:rFonts w:hint="eastAsia" w:ascii="宋体" w:hAnsi="宋体" w:eastAsia="宋体" w:cs="宋体"/>
          <w:b/>
          <w:bCs/>
        </w:rPr>
        <w:t xml:space="preserve">监控指挥中心及外场设备传输系统</w:t>
      </w:r>
      <w:r/>
    </w:p>
    <w:p>
      <w:pPr>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eastAsia="zh-CN"/>
        </w:rPr>
        <w:t xml:space="preserve">.1、数据智能云存储服务器</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（1）单设备应配置≥1颗64位多核处理器，≥4GB内存，内存最大可支持扩展到≥128GB内存，支持风扇热插拔冗余温控调速风扇。</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（2）支持热插拔冗余金牌电源供电，机箱具备防尘滤网，采用双立柱防震设计；</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（3）可接入2T/3T/4T/6T/8T/10T/12T/14T/16T/18T/20T SATA/SAS硬盘；</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（4）具有48块硬盘热插拔插槽；支持硬盘热插拔设备在读写数据时，热插拔设备内的任意</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块硬盘，设备正常运行不宕机，硬盘不损坏，数据不丢失，业务不中断。</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（5）支持对录像的某个时间点进行添加标签，并可进行查询；支持不低于600MBps 图片并发</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输入，同时不低于600MBps图片并发输出；可同时对接入摄像机的主辅码流进行存储。</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6</w:t>
      </w:r>
      <w:r>
        <w:rPr>
          <w:rFonts w:ascii="宋体" w:hAnsi="宋体" w:eastAsia="宋体" w:cs="宋体"/>
          <w:spacing w:val="-2"/>
          <w:sz w:val="24"/>
          <w:szCs w:val="24"/>
          <w:highlight w:val="none"/>
          <w:lang w:val="en-US" w:eastAsia="en-US"/>
        </w:rPr>
        <w:t xml:space="preserve">）单设备应标配≥2个千兆网口，可增扩万兆口或光纤接口；</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7</w:t>
      </w:r>
      <w:r>
        <w:rPr>
          <w:rFonts w:ascii="宋体" w:hAnsi="宋体" w:eastAsia="宋体" w:cs="宋体"/>
          <w:spacing w:val="-2"/>
          <w:sz w:val="24"/>
          <w:szCs w:val="24"/>
          <w:highlight w:val="none"/>
          <w:lang w:val="en-US" w:eastAsia="en-US"/>
        </w:rPr>
        <w:t xml:space="preserve">）应能提供RAID0、1、3、5、6、10、50，60、JBOD、RAIDErasingCode、Raid5EE模式，</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支持全局、局部等多种热备选择，支持坏盘自动重构；</w:t>
      </w:r>
      <w:r/>
    </w:p>
    <w:p>
      <w:pPr>
        <w:numPr>
          <w:ilvl w:val="0"/>
          <w:numId w:val="0"/>
        </w:num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8</w:t>
      </w:r>
      <w:r>
        <w:rPr>
          <w:rFonts w:ascii="宋体" w:hAnsi="宋体" w:eastAsia="宋体" w:cs="宋体"/>
          <w:spacing w:val="-2"/>
          <w:sz w:val="24"/>
          <w:szCs w:val="24"/>
          <w:highlight w:val="none"/>
          <w:lang w:val="en-US" w:eastAsia="en-US"/>
        </w:rPr>
        <w:t xml:space="preserve">）支持冗余存储；</w:t>
      </w:r>
      <w:r/>
    </w:p>
    <w:p>
      <w:pPr>
        <w:spacing w:line="360" w:lineRule="auto"/>
        <w:rPr>
          <w:rFonts w:hint="eastAsia" w:ascii="宋体" w:hAnsi="宋体" w:eastAsia="宋体" w:cs="宋体"/>
          <w:b/>
          <w:bCs/>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2</w:t>
      </w:r>
      <w:r>
        <w:rPr>
          <w:rFonts w:hint="eastAsia" w:ascii="宋体" w:hAnsi="宋体" w:eastAsia="宋体" w:cs="宋体"/>
          <w:b/>
          <w:sz w:val="24"/>
          <w:lang w:eastAsia="zh-CN"/>
        </w:rPr>
        <w:t xml:space="preserve">、</w:t>
      </w:r>
      <w:r>
        <w:rPr>
          <w:rFonts w:hint="eastAsia" w:ascii="宋体" w:hAnsi="宋体" w:eastAsia="宋体" w:cs="宋体"/>
          <w:b/>
          <w:bCs/>
          <w:sz w:val="24"/>
          <w:lang w:eastAsia="zh-CN"/>
        </w:rPr>
        <w:t xml:space="preserve">应用</w:t>
      </w:r>
      <w:r>
        <w:rPr>
          <w:rFonts w:hint="eastAsia" w:ascii="宋体" w:hAnsi="宋体" w:eastAsia="宋体" w:cs="宋体"/>
          <w:b/>
          <w:bCs/>
          <w:sz w:val="24"/>
          <w:lang w:val="en-US" w:eastAsia="zh-CN"/>
        </w:rPr>
        <w:t xml:space="preserve">管理</w:t>
      </w:r>
      <w:r>
        <w:rPr>
          <w:rFonts w:hint="eastAsia" w:ascii="宋体" w:hAnsi="宋体" w:eastAsia="宋体" w:cs="宋体"/>
          <w:b/>
          <w:bCs/>
          <w:sz w:val="24"/>
          <w:lang w:eastAsia="zh-CN"/>
        </w:rPr>
        <w:t xml:space="preserve">服务器</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en-US"/>
        </w:rPr>
        <w:t xml:space="preserve">（1）2U单路标准机架式服务器CPU：配置1颗国产处理器，核数≥16核，主频≥2.5GHz</w:t>
      </w:r>
      <w:r>
        <w:rPr>
          <w:rFonts w:hint="eastAsia" w:ascii="宋体" w:hAnsi="宋体" w:eastAsia="宋体" w:cs="宋体"/>
          <w:spacing w:val="-2"/>
          <w:sz w:val="24"/>
          <w:szCs w:val="24"/>
          <w:lang w:val="en-US" w:eastAsia="zh-CN"/>
        </w:rPr>
        <w:t xml:space="preserve">；</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en-US"/>
        </w:rPr>
        <w:t xml:space="preserve">（2）内存：配置64G DDR4，16根内存插槽，最大支持扩展至1TB内存</w:t>
      </w:r>
      <w:r>
        <w:rPr>
          <w:rFonts w:hint="eastAsia" w:ascii="宋体" w:hAnsi="宋体" w:eastAsia="宋体" w:cs="宋体"/>
          <w:spacing w:val="-2"/>
          <w:sz w:val="24"/>
          <w:szCs w:val="24"/>
          <w:lang w:val="en-US" w:eastAsia="zh-CN"/>
        </w:rPr>
        <w:t xml:space="preserve">；</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（3）硬盘：配置2块1.2TB 10K SAS硬盘；最高可选支持12块3.5寸(兼容2.5寸)热插拔SATA/SAS硬盘，可选支持2块后置2.5寸热插拔SATA/SAS硬盘;</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（4）阵列卡：配置SAS_HBA卡（支持RAID 0/1/10）;</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（5）PCIE扩展：最大可选支持6个PCIe扩展插槽；</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（6）网口：板载2个千兆电口，支持选配10GbE、25GbE SFP+等多种网络接口；</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（7）其他接口：配置1个千兆RJ-45管理接口，4个USB</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lang w:val="en-US" w:eastAsia="en-US"/>
        </w:rPr>
        <w:t xml:space="preserve">3.0接口，2个位于机箱后部，2个位于机箱前部；1个VGA口，位于机箱后部；可选1个COM口位于机箱后部；</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（8）电源：配置550W（1+1）高效铂金CRPS冗余电源</w:t>
      </w:r>
      <w:r/>
    </w:p>
    <w:p>
      <w:pPr>
        <w:spacing w:line="360" w:lineRule="auto"/>
        <w:rPr>
          <w:rFonts w:hint="eastAsia" w:ascii="宋体" w:hAnsi="宋体" w:eastAsia="宋体" w:cs="宋体"/>
          <w:b/>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val="en-US" w:eastAsia="zh-CN"/>
        </w:rPr>
        <w:t xml:space="preserve">.</w:t>
      </w:r>
      <w:r>
        <w:rPr>
          <w:rFonts w:hint="eastAsia" w:ascii="宋体" w:hAnsi="宋体" w:cs="宋体"/>
          <w:b/>
          <w:sz w:val="24"/>
          <w:lang w:val="en-US" w:eastAsia="zh-CN"/>
        </w:rPr>
        <w:t xml:space="preserve">3</w:t>
      </w:r>
      <w:r>
        <w:rPr>
          <w:rFonts w:hint="eastAsia" w:ascii="宋体" w:hAnsi="宋体" w:eastAsia="宋体" w:cs="宋体"/>
          <w:b/>
          <w:sz w:val="24"/>
          <w:lang w:val="en-US" w:eastAsia="zh-CN"/>
        </w:rPr>
        <w:t xml:space="preserve">、</w:t>
      </w:r>
      <w:r>
        <w:rPr>
          <w:rFonts w:hint="eastAsia" w:ascii="宋体" w:hAnsi="宋体" w:eastAsia="宋体" w:cs="宋体"/>
          <w:b/>
          <w:sz w:val="24"/>
          <w:lang w:eastAsia="zh-CN"/>
        </w:rPr>
        <w:t xml:space="preserve">16 路智能硬盘录像机</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（1）2个HDMI，2个VGA，HDMI1和VGA1 同源，HDMI2和VGA2 同源，组间异源8盘位，可满配 8T硬盘,2个千兆网口，输入带宽：256Mbps，16 路 H.264、H.265混合接入；</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（2）可接入 1T、2T、3T、4T、6T 容量的SATA接口硬盘；可接入AI硬盘；可接入SSD固态硬盘；可接入加密硬盘；</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（3）开启视频流智能分析，NVR 网络发送带宽不会降低，开启视频流智能分析，NVR解码性能不会降低；</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支持在视频预览画面查看实时预警面板，包括：事件名称、事件触发时间、人脸抓图，针对人脸比对同时显示姓名、相似度，针对车辆报警同时显示车牌。针对人体和车辆目标，可分别显示出“人体”、“车辆”，企业技术要求：支持从其他设备接入设定时间的录像文件，并对录像文件进行人脸检测和识别，实时显示识别结果。支持人脸戴眼镜检出率不低于 99%；</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（5）设备的视频输出口HDMI1、HDMI2和 VGA1、VGA2均可以显示系统主菜单；</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（6）同屏预览：支持活动目标与实时预览同屏显示。实时预览的同时可以提取视频画面中的活动目标，可显示人脸、人体、车辆等目标图片，点击图片可即时回放相关录像。</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（7）可获取样机网卡吞吐量、MTU（最大传输单元）、网络接入带宽、网络输出带宽等信息，并支持图形化显示发送速率、接收速率。</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（8）网络状态检测：支持网络延时、丢包测试，支持网络抓包备份。</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（9）网络资源统计：可实时查看设备IP通道接入、远程预览、远程回放及下载、网络接收剩余、网络发送剩余带宽。</w:t>
      </w:r>
      <w:r/>
    </w:p>
    <w:p>
      <w:pPr>
        <w:spacing w:line="360" w:lineRule="auto"/>
        <w:rPr>
          <w:rFonts w:hint="eastAsia" w:ascii="宋体" w:hAnsi="宋体" w:eastAsia="宋体" w:cs="宋体"/>
          <w:b/>
          <w:bCs/>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4</w:t>
      </w:r>
      <w:r>
        <w:rPr>
          <w:rFonts w:hint="eastAsia" w:ascii="宋体" w:hAnsi="宋体" w:eastAsia="宋体" w:cs="宋体"/>
          <w:b/>
          <w:sz w:val="24"/>
          <w:lang w:eastAsia="zh-CN"/>
        </w:rPr>
        <w:t xml:space="preserve">、</w:t>
      </w:r>
      <w:r>
        <w:rPr>
          <w:rFonts w:hint="eastAsia" w:ascii="宋体" w:hAnsi="宋体" w:eastAsia="宋体" w:cs="宋体"/>
          <w:b/>
          <w:bCs/>
          <w:sz w:val="24"/>
          <w:lang w:eastAsia="zh-CN"/>
        </w:rPr>
        <w:t xml:space="preserve">云存储服务器企业级iot硬盘（</w:t>
      </w:r>
      <w:r>
        <w:rPr>
          <w:rFonts w:hint="eastAsia" w:ascii="宋体" w:hAnsi="宋体" w:eastAsia="宋体" w:cs="宋体"/>
          <w:b/>
          <w:bCs/>
          <w:sz w:val="24"/>
          <w:lang w:val="en-US" w:eastAsia="zh-CN"/>
        </w:rPr>
        <w:t xml:space="preserve">10</w:t>
      </w:r>
      <w:r>
        <w:rPr>
          <w:rFonts w:hint="eastAsia" w:ascii="宋体" w:hAnsi="宋体" w:eastAsia="宋体" w:cs="宋体"/>
          <w:b/>
          <w:bCs/>
          <w:sz w:val="24"/>
          <w:lang w:eastAsia="zh-CN"/>
        </w:rPr>
        <w:t xml:space="preserve">T)：</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3.5",SATA3,512E，3.5 HDD,</w:t>
      </w:r>
      <w:r>
        <w:rPr>
          <w:rFonts w:hint="eastAsia" w:ascii="宋体" w:hAnsi="宋体" w:eastAsia="宋体" w:cs="宋体"/>
          <w:spacing w:val="-2"/>
          <w:sz w:val="24"/>
          <w:szCs w:val="24"/>
          <w:lang w:val="en-US" w:eastAsia="zh-CN"/>
        </w:rPr>
        <w:t xml:space="preserve">10</w:t>
      </w:r>
      <w:r>
        <w:rPr>
          <w:rFonts w:hint="eastAsia" w:ascii="宋体" w:hAnsi="宋体" w:eastAsia="宋体" w:cs="宋体"/>
          <w:spacing w:val="-2"/>
          <w:sz w:val="24"/>
          <w:szCs w:val="24"/>
          <w:lang w:val="en-US" w:eastAsia="en-US"/>
        </w:rPr>
        <w:t xml:space="preserve">TB,7200RPM, 256MB, SATA 6Gb/s。</w:t>
      </w:r>
      <w:r/>
    </w:p>
    <w:p>
      <w:pPr>
        <w:spacing w:line="360" w:lineRule="auto"/>
        <w:rPr>
          <w:rFonts w:hint="eastAsia" w:ascii="宋体" w:hAnsi="宋体" w:eastAsia="宋体" w:cs="宋体"/>
          <w:b/>
          <w:bCs/>
          <w:sz w:val="24"/>
          <w:lang w:val="en-US"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5</w:t>
      </w:r>
      <w:r>
        <w:rPr>
          <w:rFonts w:hint="eastAsia" w:ascii="宋体" w:hAnsi="宋体" w:eastAsia="宋体" w:cs="宋体"/>
          <w:b/>
          <w:sz w:val="24"/>
          <w:lang w:eastAsia="zh-CN"/>
        </w:rPr>
        <w:t xml:space="preserve">、</w:t>
      </w:r>
      <w:r>
        <w:rPr>
          <w:rFonts w:hint="eastAsia" w:ascii="宋体" w:hAnsi="宋体" w:eastAsia="宋体" w:cs="宋体"/>
          <w:b/>
          <w:bCs/>
          <w:sz w:val="24"/>
          <w:lang w:val="en-US" w:eastAsia="zh-CN"/>
        </w:rPr>
        <w:t xml:space="preserve">存储卡：</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类型：MicroSD(TF)、容量：≥32G、读取速度：≥100MB/秒、写入速度：≥90MB/S</w:t>
      </w:r>
      <w:r/>
    </w:p>
    <w:p>
      <w:pPr>
        <w:spacing w:line="360" w:lineRule="auto"/>
        <w:rPr>
          <w:rFonts w:ascii="宋体" w:hAnsi="宋体" w:eastAsia="宋体" w:cs="宋体"/>
          <w:b/>
          <w:sz w:val="24"/>
          <w:lang w:eastAsia="zh-CN"/>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.6</w:t>
      </w:r>
      <w:r>
        <w:rPr>
          <w:rFonts w:hint="eastAsia" w:ascii="宋体" w:hAnsi="宋体" w:eastAsia="宋体" w:cs="宋体"/>
          <w:b/>
          <w:bCs/>
          <w:sz w:val="24"/>
          <w:lang w:eastAsia="zh-CN"/>
        </w:rPr>
        <w:t xml:space="preserve">、</w:t>
      </w:r>
      <w:r>
        <w:rPr>
          <w:rFonts w:hint="eastAsia" w:ascii="宋体" w:hAnsi="宋体" w:eastAsia="宋体" w:cs="宋体"/>
          <w:b/>
          <w:sz w:val="24"/>
          <w:lang w:eastAsia="zh-CN"/>
        </w:rPr>
        <w:t xml:space="preserve">工业级交换机、光纤收发器技术参数：</w:t>
      </w:r>
      <w:r/>
    </w:p>
    <w:p>
      <w:pPr>
        <w:spacing w:line="360" w:lineRule="auto"/>
        <w:rPr>
          <w:rFonts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rPr>
        <w:t xml:space="preserve">工业级5</w:t>
      </w:r>
      <w:r>
        <w:rPr>
          <w:rFonts w:hint="eastAsia" w:ascii="宋体" w:hAnsi="宋体" w:eastAsia="宋体" w:cs="宋体"/>
          <w:b/>
          <w:sz w:val="24"/>
          <w:lang w:val="en-US" w:eastAsia="zh-CN"/>
        </w:rPr>
        <w:t xml:space="preserve">/8</w:t>
      </w:r>
      <w:r>
        <w:rPr>
          <w:rFonts w:hint="eastAsia" w:ascii="宋体" w:hAnsi="宋体" w:eastAsia="宋体" w:cs="宋体"/>
          <w:b/>
          <w:sz w:val="24"/>
        </w:rPr>
        <w:t xml:space="preserve">口千兆交换机</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lang w:val="en-US" w:eastAsia="en-US"/>
        </w:rPr>
        <w:t xml:space="preserve">配有5/8路10/100/10001000Base-TX以太网接口；</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lang w:val="en-US" w:eastAsia="en-US"/>
        </w:rPr>
        <w:t xml:space="preserve">支持全双工或半双工模式，并带有自动协商能力；</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lang w:val="en-US" w:eastAsia="en-US"/>
        </w:rPr>
        <w:t xml:space="preserve">10Mbps，100Mbps，1000Mbps自动适应；</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（4）网口支持全自动交叉识别，无需手动操作开关；</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（5）内带存储转发机制，缓存1M，支持多种协议；</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（6）雷击浪涌冲击防护(电源)：5000A(8/20μs)；</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（7）通过继电器输出自动报警功能；</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（8）冗余双直流电源输入过载保护；</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（9）符合</w:t>
      </w:r>
      <w:r>
        <w:rPr>
          <w:rFonts w:hint="eastAsia" w:ascii="宋体" w:hAnsi="宋体" w:eastAsia="宋体" w:cs="宋体"/>
          <w:spacing w:val="-2"/>
          <w:sz w:val="24"/>
          <w:szCs w:val="24"/>
          <w:highlight w:val="none"/>
          <w:lang w:val="en-US" w:eastAsia="zh-CN"/>
        </w:rPr>
        <w:t xml:space="preserve">电信级</w:t>
      </w:r>
      <w:r>
        <w:rPr>
          <w:rFonts w:hint="eastAsia" w:ascii="宋体" w:hAnsi="宋体" w:eastAsia="宋体" w:cs="宋体"/>
          <w:spacing w:val="-2"/>
          <w:sz w:val="24"/>
          <w:szCs w:val="24"/>
          <w:lang w:val="en-US" w:eastAsia="zh-CN"/>
        </w:rPr>
        <w:t xml:space="preserve">运营标准，平均无故障工作在2万小时以上；</w:t>
      </w:r>
      <w:r/>
    </w:p>
    <w:p>
      <w:pPr>
        <w:pStyle w:val="1100"/>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 10Base-T、IEEE 802.3u 100Base-T(X)和100Base-FX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802.3ab 1000Base-T(X)</w:t>
      </w:r>
      <w:r/>
    </w:p>
    <w:p>
      <w:pPr>
        <w:pStyle w:val="1100"/>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接口: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1）千兆以太网：5/8路千兆RJ-45，支持10/100/1000Base-T（X）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（2）LED指示灯：PWR1，PWR2，FAIL电源告警灯,RJ-45指示灯</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（3）报警触点：一路继电器输出，常开常闭，容量1A@24VDC</w:t>
      </w:r>
      <w:r/>
    </w:p>
    <w:p>
      <w:pPr>
        <w:pStyle w:val="1100"/>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电源需求: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（1）输入电压：DC 12/24/48V宽压、冗余双电源输入</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（2）功耗:最大5 Watts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（3）浪涌防护(以太网)：±8KV接触放电；±15KV空气放电</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（4）雷击浪涌冲击防护(以太网)：共模±4KV(10/700μs)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（5）差模±2KV(10/700μs)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（6）雷击浪涌冲击防护(电源)：5000A(8/20μs)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（7）接口端子：1个可插拔的6针接线端子</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（8）过载保护：提供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（9）反接保护：提供</w:t>
      </w:r>
      <w:r/>
    </w:p>
    <w:p>
      <w:pPr>
        <w:pStyle w:val="1100"/>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机械特性: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（1）外壳：IP30防护等级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（2）安装方式：导轨式安装\墙式安装（默认为导轨式安装）</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（3）尺寸（W x H x D）：150mm×47.6mm×100mm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（4）工作环境:工作温度：-40℃~85℃ 储存温度：-40℃~85℃ 相对湿度：0～95% (无凝露)</w:t>
      </w:r>
      <w:r/>
    </w:p>
    <w:p>
      <w:pPr>
        <w:pStyle w:val="1100"/>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行业标准: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EMI：FCC Part 15 Subpart B classA，EN55022 class A</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EMS：IEC(EN)61000-4-2(ESD)，IEC(EN)61000-4-3(RS)，IEC(EN)61000-4-4(EFT)，</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IEC(EN)61000-4-5(Surge)，IEC(EN)61000-4-6(CS)，IEC(EN)61000-4-8</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 60068-2-27(Shock)</w:t>
      </w:r>
      <w:r/>
    </w:p>
    <w:p>
      <w:pPr>
        <w:spacing w:line="360" w:lineRule="auto"/>
        <w:widowControl w:val="off"/>
        <w:rPr>
          <w:rFonts w:ascii="宋体" w:hAnsi="宋体" w:eastAsia="宋体" w:cs="宋体"/>
          <w:b/>
          <w:sz w:val="24"/>
          <w:lang w:eastAsia="zh-CN"/>
        </w:rPr>
      </w:pPr>
      <w:r>
        <w:rPr>
          <w:rFonts w:hint="eastAsia" w:ascii="宋体" w:hAnsi="宋体" w:eastAsia="宋体" w:cs="宋体"/>
          <w:b/>
          <w:sz w:val="24"/>
          <w:lang w:val="en-US" w:eastAsia="zh-CN"/>
        </w:rPr>
        <w:t xml:space="preserve">2、</w:t>
      </w:r>
      <w:r>
        <w:rPr>
          <w:rFonts w:hint="eastAsia" w:ascii="宋体" w:hAnsi="宋体" w:eastAsia="宋体" w:cs="宋体"/>
          <w:b/>
          <w:sz w:val="24"/>
          <w:lang w:eastAsia="zh-CN"/>
        </w:rPr>
        <w:t xml:space="preserve">工业级千兆光纤收发器</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（1）采用优质的光电一体化模块提供良好的光特性和电气特性，保证数据传输可靠，工作寿命长；</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（2）支持全双工或半双工模式，并带有自动协商能力10Mbps，100Mbps，1000Mbps 自动适应网口支持全自动交叉识别内带存储转发机制，缓存1M；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（3）符合电信级运营标准，平均无故障工作在5万小时以上；</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spacing w:val="-2"/>
          <w:sz w:val="24"/>
          <w:szCs w:val="24"/>
          <w:lang w:val="en-US" w:eastAsia="zh-CN"/>
        </w:rPr>
        <w:t xml:space="preserve">工作电压：12/24/48VDC(10.8~52.8VDC)，支持反接保护；</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spacing w:val="-2"/>
          <w:sz w:val="24"/>
          <w:szCs w:val="24"/>
          <w:lang w:val="en-US" w:eastAsia="zh-CN"/>
        </w:rPr>
        <w:t xml:space="preserve">使用SC光纤接口（可选 ST、FC接口）；</w:t>
      </w:r>
      <w:r/>
    </w:p>
    <w:p>
      <w:pPr>
        <w:pStyle w:val="1100"/>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802.3、IEEE 802.3u、IEEE 802.3ab、IEEE 802.3z、IEEE 802.3x</w:t>
      </w:r>
      <w:r/>
    </w:p>
    <w:p>
      <w:pPr>
        <w:pStyle w:val="1100"/>
        <w:spacing w:line="360" w:lineRule="auto"/>
        <w:rPr>
          <w:color w:val="auto"/>
        </w:rPr>
      </w:pPr>
      <w:r>
        <w:rPr>
          <w:rFonts w:hint="eastAsia" w:ascii="宋体" w:hAnsi="宋体" w:eastAsia="宋体" w:cs="宋体"/>
          <w:b/>
          <w:color w:val="000000"/>
          <w:sz w:val="24"/>
          <w:szCs w:val="21"/>
          <w:lang w:val="en-US" w:eastAsia="zh-CN" w:bidi="ar-SA"/>
        </w:rPr>
        <w:t xml:space="preserve">接口: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（1）千兆以太网：1路千兆 RJ-45，支持 10/100/1000Base-T（X）；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（2）光纤端口：1路 1*9 光纤接口（可选 ST、FC、SC 接口）,支持；</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（3）1000 Base-X；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（4）LED 指示灯：PWR 电源灯，FDX 光纤指示灯,ACT 网络数据传输指示灯，LINK 网络连接指示灯；</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（5）传输光纤:多模：50/125，62.5/125、单模：8.3/125，8.7/125，9/125，10/125μm；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（6）传输距离:多模：2km、单模：20km，根据用户需求可订制40Km、60Km、80km、120km。连接线缆UTP5类线：100m；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电源需求: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（1）输入电压：12/24/48VDC（10.8~52.8VDC）</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（2）功耗:最大 3 Watts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（3）接口端子：1 个可插拔的3针接线端子</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（4）过载保护：提供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（5）反接保护：提供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机械特性: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（1）外壳：IP30 防护等级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（2）安装方式：导轨式安装\壁挂式安装</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（3）尺寸（W x H x D）：150mm×37mm×100mm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工作环境:</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（1）工作温度：-40℃~85℃</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（2）储存温度：-40℃~85℃</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（3）相对湿度：0～95% (无凝露)</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行业标准: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EMI：FCC Part 15 Subpart B classA，EN55022 class A</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EMS：IEC(EN)61000-4-2(ESD)、IEC(EN)61000-4-3(RS)、IEC(EN)61000-4-4(EFT)、</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IEC(EN)61000-4-5(Surge)、IEC(EN)61000-4-6(CS)、IEC(EN)61000-4-8、IEC 60068-2-27(Shock)、IEC 60068-2-32(Freefall)、IEC 60068-2-6(Vibration)</w:t>
      </w:r>
      <w:r/>
    </w:p>
    <w:p>
      <w:pPr>
        <w:pStyle w:val="1100"/>
        <w:numPr>
          <w:ilvl w:val="0"/>
          <w:numId w:val="15"/>
        </w:num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防雷接地</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4.1、接地</w:t>
      </w:r>
      <w:r/>
    </w:p>
    <w:p>
      <w:pPr>
        <w:spacing w:line="360" w:lineRule="auto"/>
        <w:rPr>
          <w:rFonts w:hint="eastAsia" w:ascii="Calibri" w:hAnsi="Calibri"/>
          <w:sz w:val="24"/>
          <w:szCs w:val="24"/>
          <w:highlight w:val="none"/>
        </w:rPr>
      </w:pPr>
      <w:r>
        <w:rPr>
          <w:rFonts w:hint="eastAsia" w:ascii="Calibri" w:hAnsi="Calibri"/>
          <w:sz w:val="24"/>
          <w:szCs w:val="24"/>
          <w:highlight w:val="none"/>
        </w:rPr>
        <w:t xml:space="preserve">杆件保护地线应与接地体/接地棒有效连接，接地电阻应小于</w:t>
      </w:r>
      <w:r>
        <w:rPr>
          <w:rFonts w:hint="eastAsia" w:ascii="Calibri" w:hAnsi="Calibri"/>
          <w:sz w:val="24"/>
          <w:szCs w:val="24"/>
          <w:highlight w:val="none"/>
          <w:lang w:val="en-US" w:eastAsia="zh-CN"/>
        </w:rPr>
        <w:t xml:space="preserve">4</w:t>
      </w:r>
      <w:r>
        <w:rPr>
          <w:rFonts w:hint="eastAsia" w:ascii="Calibri" w:hAnsi="Calibri"/>
          <w:sz w:val="24"/>
          <w:szCs w:val="24"/>
          <w:highlight w:val="none"/>
        </w:rPr>
        <w:t xml:space="preserve">Ω，防雷符合《安全防范系统雷电浪涌防护技术要求》。垂直接地极采用L50×50×5mm 长2.5m的镀锌角钢，水平接地极采用50×5mm 镀锌扁钢，接地引上线用40×4mm 的镀锌扁钢、50mm</w:t>
      </w:r>
      <w:r>
        <w:rPr>
          <w:rFonts w:hint="eastAsia" w:ascii="Calibri" w:hAnsi="Calibri"/>
          <w:sz w:val="24"/>
          <w:szCs w:val="24"/>
          <w:highlight w:val="none"/>
          <w:vertAlign w:val="superscript"/>
        </w:rPr>
        <w:t xml:space="preserve">2</w:t>
      </w:r>
      <w:r>
        <w:rPr>
          <w:rFonts w:hint="eastAsia" w:ascii="Calibri" w:hAnsi="Calibri"/>
          <w:sz w:val="24"/>
          <w:szCs w:val="24"/>
          <w:highlight w:val="none"/>
        </w:rPr>
        <w:t xml:space="preserve">的绝缘多股铜导线。将接地极打入土层（最好是常年比较潮湿的地方），地线顶端埋深应大于0.8m，接地极与基础的距离应＞10m，接地极之间的距离＞5m。角钢与角钢之间用50×5的镀锌扁钢（也埋设在距顶端0.8 m 的地方）以焊接方式连接，焊接完成后，焊接处应进行防腐防锈处理。</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4.</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eastAsia="zh-CN"/>
        </w:rPr>
        <w:t xml:space="preserve">、防雷设施</w:t>
      </w:r>
      <w:r/>
    </w:p>
    <w:p>
      <w:pPr>
        <w:ind w:firstLine="480"/>
        <w:spacing w:line="360" w:lineRule="auto"/>
        <w:rPr>
          <w:rFonts w:hint="eastAsia" w:ascii="宋体" w:hAnsi="宋体" w:eastAsia="宋体" w:cs="宋体"/>
          <w:b/>
          <w:bCs/>
          <w:highlight w:val="none"/>
        </w:rPr>
      </w:pPr>
      <w:r>
        <w:rPr>
          <w:rFonts w:hint="eastAsia" w:ascii="Calibri" w:hAnsi="Calibri"/>
          <w:sz w:val="24"/>
          <w:szCs w:val="24"/>
          <w:highlight w:val="none"/>
        </w:rPr>
        <w:t xml:space="preserve">所有外场设备立柱均设置避雷针，避雷针与杆体及设备做绝缘处理，同时在各外场设备信号线以及供电电缆的接口处安装防雷保护器。</w:t>
      </w:r>
      <w:r/>
    </w:p>
    <w:p>
      <w:pPr>
        <w:pStyle w:val="1100"/>
        <w:numPr>
          <w:ilvl w:val="0"/>
          <w:numId w:val="15"/>
        </w:num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行人和非机动车电子劝导员及非机动车闯红灯</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1200万像素相机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1、高清抓拍单元由摄像机、高清镜头、室外防护罩、风扇、补光灯、电源适配器、安装万向节等组成；</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2、靶面尺寸≥1英寸；视频分辨率≥4096*3072；</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3、支持抓拍非机动车违章：违法非占机、载人、未戴头盔、逆行、闯红灯；</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4、支持非机动车特征检测：伞棚、载人人数等特征检测；</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5、支持区分机动车、非机动车或二轮车（摩托车、自行车，电动二轮车）和行人；</w:t>
      </w:r>
      <w:r/>
    </w:p>
    <w:p>
      <w:pPr>
        <w:ind w:firstLine="504"/>
        <w:spacing w:line="360" w:lineRule="auto"/>
        <w:rPr>
          <w:rFonts w:hint="eastAsia" w:ascii="Times New Roman" w:hAnsi="Times New Roman" w:eastAsia="宋体" w:cs="Times New Roman"/>
          <w:b/>
          <w:bCs/>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▲6、支持对非机动车闯红灯、越线停车、非机动车占道、逆行、未戴安全帽、装载伞具等行为进行检测、抓拍，白天识别准确率≥99%，晚上识别准确率≥99%；</w:t>
      </w:r>
      <w:r>
        <w:rPr>
          <w:rFonts w:hint="eastAsia" w:ascii="Times New Roman" w:hAnsi="Times New Roman" w:eastAsia="宋体" w:cs="Times New Roman"/>
          <w:b/>
          <w:bCs/>
          <w:spacing w:val="6"/>
          <w:sz w:val="24"/>
          <w:szCs w:val="24"/>
          <w:highlight w:val="none"/>
          <w:lang w:val="en-US" w:eastAsia="zh-CN"/>
        </w:rPr>
        <w:t xml:space="preserve">（提供公安部检测报告扫描件加盖公章上传）</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7、支持检测并跟踪指定区域内不少于 245 个目标，目标包括机动车、非机动车以及行人；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8、支持语音文件导入，并选定语音输出到摄像机音频口；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9、支持主码流同时输出不少于 30 路的图像以提供客户端浏览；</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10、支持对非机动车和行人目标检测并显示结构化信息。</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5.2</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定向音频（户外音柱）</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1、输出音量可调节，功率≥20W；</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2、铝合金外壳，满足户外使用条件，防护等级不低于IP66；</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3、音频输入信息可自定义，支持多种人声输出可调可选；</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4、支持控制固定语句音频输出。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终端管理设备：</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1、具有≥18个10M/100M/1000M自适应RJ45接口，≥2个1000M SFP光端接口，≥2个报警输入接口，≥2个报警输出接口；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2、硬盘槽位≥4个，本次内置≥1块8T硬盘；</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3、支持对抓拍机抓拍的非机动车数据（抓拍及违章数据）进行接收、存储、查询、转发；</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4、可配置多种字符叠加、图片合成模式；</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5、支持机柜门打开后声音报警及报警上传功能；</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6、支持≥12个通道的非机动车过车记录存储、图片存储、视频存储、抓拍及违章数据上传、视频流转发。</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5.3</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信号检测器</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1、具有≥6路信号灯交流信号输入接口、≥4个RS485输出接口、≥1路100M网口输出、≥1个5VDC输出接口；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2、具有≥5路拨码开关，用来设置波特率、地址和上传模式；</w:t>
      </w:r>
      <w:r/>
    </w:p>
    <w:p>
      <w:pPr>
        <w:ind w:firstLine="504"/>
        <w:spacing w:line="360" w:lineRule="auto"/>
        <w:rPr>
          <w:rFonts w:hint="eastAsia" w:ascii="Times New Roman" w:hAnsi="Times New Roman" w:eastAsia="宋体" w:cs="Times New Roman"/>
          <w:spacing w:val="6"/>
          <w:sz w:val="24"/>
          <w:szCs w:val="24"/>
          <w:highlight w:val="green"/>
          <w:lang w:val="en-US" w:eastAsia="zh-CN"/>
        </w:rPr>
      </w:pPr>
      <w:r>
        <w:rPr>
          <w:rFonts w:hint="eastAsia" w:ascii="Times New Roman" w:hAnsi="Times New Roman" w:eastAsia="宋体" w:cs="Times New Roman"/>
          <w:spacing w:val="6"/>
          <w:sz w:val="24"/>
          <w:szCs w:val="24"/>
          <w:highlight w:val="none"/>
          <w:lang w:val="en-US" w:eastAsia="zh-CN"/>
        </w:rPr>
        <w:t xml:space="preserve">3、具有≥16路交通灯状态指示，支持实时输出交通灯信号状态。</w:t>
      </w:r>
      <w:r/>
    </w:p>
    <w:p>
      <w:pPr>
        <w:pStyle w:val="1100"/>
        <w:numPr>
          <w:ilvl w:val="0"/>
          <w:numId w:val="15"/>
        </w:numPr>
        <w:spacing w:line="360" w:lineRule="auto"/>
        <w:rPr>
          <w:rFonts w:hint="eastAsia" w:ascii="宋体" w:hAnsi="宋体" w:eastAsia="宋体" w:cs="宋体"/>
          <w:b/>
          <w:bCs/>
          <w:sz w:val="24"/>
          <w:highlight w:val="none"/>
          <w:lang w:eastAsia="zh-CN"/>
        </w:rPr>
      </w:pPr>
      <w:r>
        <w:rPr>
          <w:rFonts w:hint="eastAsia" w:ascii="宋体" w:hAnsi="宋体" w:eastAsia="宋体" w:cs="宋体"/>
          <w:b/>
          <w:bCs/>
          <w:highlight w:val="none"/>
        </w:rPr>
        <w:t xml:space="preserve">金湖县文明城市智慧交通管理平台系统技术参数：</w:t>
      </w:r>
      <w:r/>
    </w:p>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系统主要为新增非机动车逆行、走机动车道等2个违法行为抓拍模块。具体功能如下：</w:t>
      </w:r>
      <w:r/>
    </w:p>
    <w:tbl>
      <w:tblPr>
        <w:tblStyle w:val="843"/>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0"/>
        <w:gridCol w:w="6377"/>
      </w:tblGrid>
      <w:tr>
        <w:trPr>
          <w:jc w:val="center"/>
        </w:trPr>
        <w:tc>
          <w:tcPr>
            <w:tcW w:w="2380"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违法行为</w:t>
            </w:r>
            <w:r/>
          </w:p>
        </w:tc>
        <w:tc>
          <w:tcPr>
            <w:tcW w:w="6377"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参数</w:t>
            </w:r>
            <w:r/>
          </w:p>
        </w:tc>
      </w:tr>
      <w:tr>
        <w:trPr>
          <w:jc w:val="center"/>
        </w:trPr>
        <w:tc>
          <w:tcPr>
            <w:tcW w:w="2380"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非机动车逆行</w:t>
            </w:r>
            <w:r/>
          </w:p>
        </w:tc>
        <w:tc>
          <w:tcPr>
            <w:tcW w:w="6377"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对接城区重点逆行的抓拍相机，获取抓拍非机动车违法图片，并实现违法人员的自动人脸识别，人工审核，自动短信+电话提醒，查询处罚等功能</w:t>
            </w:r>
            <w:r/>
          </w:p>
        </w:tc>
      </w:tr>
      <w:tr>
        <w:trPr>
          <w:jc w:val="center"/>
        </w:trPr>
        <w:tc>
          <w:tcPr>
            <w:tcW w:w="2380"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非机动车走机动车道</w:t>
            </w:r>
            <w:r/>
          </w:p>
        </w:tc>
        <w:tc>
          <w:tcPr>
            <w:tcW w:w="6377"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对接城区机动车处的抓拍相机，获取抓拍非机动车违法图片，并实现违法人员的自动人脸识别，人工审核，自动短信+电话提醒，查询处罚等功能</w:t>
            </w:r>
            <w:r/>
          </w:p>
        </w:tc>
      </w:tr>
    </w:tbl>
    <w:p>
      <w:pPr>
        <w:pStyle w:val="1100"/>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广域雷达微波检测器（单点自适应系统）技术参数：</w:t>
      </w:r>
      <w:r/>
    </w:p>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采用广域雷达跟踪和高清视频融合技术，一体化设计，可跟踪256个目标，检测目标的即时位置、即时速度、目标分类、实时排队长度、实时区域状态、多断面的交通流、异常事件等高精度检测及视频可视化；视频像素500万，检测范围：8车道、350米远；同时支持正向或者侧向安装。</w:t>
      </w:r>
      <w:r/>
    </w:p>
    <w:p>
      <w:pPr>
        <w:pStyle w:val="1100"/>
        <w:numPr>
          <w:ilvl w:val="0"/>
          <w:numId w:val="15"/>
        </w:numPr>
        <w:spacing w:line="360" w:lineRule="auto"/>
        <w:rPr>
          <w:rFonts w:hint="eastAsia" w:ascii="宋体" w:hAnsi="宋体" w:eastAsia="宋体" w:cs="宋体"/>
          <w:b/>
          <w:bCs/>
          <w:sz w:val="24"/>
          <w:lang w:eastAsia="zh-CN"/>
        </w:rPr>
      </w:pPr>
      <w:r>
        <w:rPr>
          <w:rFonts w:hint="eastAsia" w:ascii="宋体" w:hAnsi="宋体" w:eastAsia="宋体" w:cs="宋体"/>
          <w:b/>
          <w:bCs/>
          <w:highlight w:val="none"/>
        </w:rPr>
        <w:t xml:space="preserve">行人过街系统技术参数：</w:t>
      </w:r>
      <w:r/>
    </w:p>
    <w:p>
      <w:pPr>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8</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、交通信号控制机、</w:t>
      </w:r>
      <w:r>
        <w:rPr>
          <w:rFonts w:hint="eastAsia" w:ascii="宋体" w:hAnsi="宋体" w:eastAsia="宋体" w:cs="宋体"/>
          <w:b/>
          <w:bCs/>
          <w:sz w:val="24"/>
          <w:highlight w:val="none"/>
          <w:lang w:val="en-US" w:eastAsia="zh-CN"/>
        </w:rPr>
        <w:t xml:space="preserve">900万电警抓拍单元（核心产品）</w:t>
      </w:r>
      <w:r>
        <w:rPr>
          <w:rFonts w:hint="eastAsia" w:ascii="宋体" w:hAnsi="宋体" w:cs="宋体"/>
          <w:b/>
          <w:bCs/>
          <w:sz w:val="24"/>
          <w:highlight w:val="none"/>
          <w:lang w:val="en-US" w:eastAsia="zh-CN"/>
        </w:rPr>
        <w:t xml:space="preserve">、LED频闪暖光灯及红绿灯信号检测器、室外抱杆箱</w:t>
      </w:r>
      <w:r>
        <w:rPr>
          <w:rFonts w:hint="eastAsia" w:ascii="宋体" w:hAnsi="宋体" w:eastAsia="宋体" w:cs="宋体"/>
          <w:b/>
          <w:bCs/>
          <w:sz w:val="24"/>
          <w:highlight w:val="none"/>
          <w:lang w:val="en-US" w:eastAsia="zh-CN"/>
        </w:rPr>
        <w:t xml:space="preserve">参数</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同</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1.1、集中协调式交通信号控制机、手持式遥控器</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eastAsia="zh-CN"/>
        </w:rPr>
        <w:t xml:space="preserve">2.1、</w:t>
      </w:r>
      <w:r>
        <w:rPr>
          <w:rFonts w:hint="eastAsia" w:ascii="宋体" w:hAnsi="宋体" w:eastAsia="宋体" w:cs="宋体"/>
          <w:b/>
          <w:bCs/>
          <w:sz w:val="24"/>
          <w:highlight w:val="none"/>
        </w:rPr>
        <w:t xml:space="preserve">900万电警抓拍单元</w:t>
      </w:r>
      <w:r>
        <w:rPr>
          <w:rFonts w:hint="eastAsia" w:ascii="宋体" w:hAnsi="宋体" w:eastAsia="宋体" w:cs="宋体"/>
          <w:b/>
          <w:bCs/>
          <w:sz w:val="24"/>
          <w:highlight w:val="none"/>
          <w:lang w:eastAsia="zh-CN"/>
        </w:rPr>
        <w:t xml:space="preserve">（核心产品）</w:t>
      </w:r>
      <w:r>
        <w:rPr>
          <w:rFonts w:hint="eastAsia" w:ascii="宋体" w:hAnsi="宋体" w:cs="宋体"/>
          <w:b/>
          <w:bCs/>
          <w:sz w:val="24"/>
          <w:highlight w:val="none"/>
          <w:lang w:val="en-US" w:eastAsia="zh-CN"/>
        </w:rPr>
        <w:t xml:space="preserve">”、“2.4、LED频闪补光灯”、“</w:t>
      </w:r>
      <w:r>
        <w:rPr>
          <w:rFonts w:hint="eastAsia" w:ascii="宋体" w:hAnsi="宋体" w:eastAsia="宋体" w:cs="宋体"/>
          <w:b/>
          <w:bCs/>
          <w:color w:val="auto"/>
          <w:sz w:val="24"/>
          <w:highlight w:val="none"/>
          <w:lang w:val="en-US" w:eastAsia="zh-CN"/>
        </w:rPr>
        <w:t xml:space="preserve">2.6</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lang w:val="en-US" w:eastAsia="zh-CN"/>
        </w:rPr>
        <w:t xml:space="preserve">红绿灯信号检测器</w:t>
      </w:r>
      <w:r>
        <w:rPr>
          <w:rFonts w:hint="eastAsia" w:ascii="宋体" w:hAnsi="宋体" w:cs="宋体"/>
          <w:b/>
          <w:bCs/>
          <w:sz w:val="24"/>
          <w:highlight w:val="none"/>
          <w:lang w:val="en-US" w:eastAsia="zh-CN"/>
        </w:rPr>
        <w:t xml:space="preserve">”及“</w:t>
      </w:r>
      <w:r>
        <w:rPr>
          <w:rFonts w:hint="eastAsia" w:ascii="宋体" w:hAnsi="宋体" w:eastAsia="宋体" w:cs="宋体"/>
          <w:b/>
          <w:bCs/>
          <w:color w:val="auto"/>
          <w:sz w:val="24"/>
          <w:highlight w:val="none"/>
          <w:lang w:val="en-US" w:eastAsia="zh-CN"/>
        </w:rPr>
        <w:t xml:space="preserve">5.4</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lang w:val="en-US" w:eastAsia="zh-CN"/>
        </w:rPr>
        <w:t xml:space="preserve">抱杆箱</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参数</w:t>
      </w:r>
      <w:r/>
    </w:p>
    <w:p>
      <w:pPr>
        <w:pStyle w:val="1100"/>
        <w:spacing w:line="360" w:lineRule="auto"/>
        <w:rPr>
          <w:rFonts w:hint="eastAsia" w:cs="宋体"/>
          <w:b/>
          <w:bCs/>
          <w:sz w:val="24"/>
          <w:lang w:eastAsia="zh-CN"/>
        </w:rPr>
      </w:pPr>
      <w:r>
        <w:rPr>
          <w:rFonts w:hint="eastAsia" w:ascii="宋体" w:hAnsi="宋体" w:eastAsia="宋体" w:cs="宋体"/>
          <w:b/>
          <w:bCs/>
          <w:sz w:val="24"/>
          <w:lang w:val="en-US" w:eastAsia="zh-CN"/>
        </w:rPr>
        <w:t xml:space="preserve">8.</w:t>
      </w:r>
      <w:r>
        <w:rPr>
          <w:rFonts w:hint="eastAsia" w:cs="宋体"/>
          <w:b/>
          <w:bCs/>
          <w:sz w:val="24"/>
          <w:lang w:val="en-US" w:eastAsia="zh-CN"/>
        </w:rPr>
        <w:t xml:space="preserve">2</w:t>
      </w:r>
      <w:r>
        <w:rPr>
          <w:rFonts w:hint="eastAsia" w:ascii="宋体" w:hAnsi="宋体" w:eastAsia="宋体" w:cs="宋体"/>
          <w:b/>
          <w:bCs/>
          <w:sz w:val="24"/>
          <w:lang w:eastAsia="zh-CN"/>
        </w:rPr>
        <w:t xml:space="preserve">、智能管理终端盒</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1、</w:t>
      </w:r>
      <w:r>
        <w:rPr>
          <w:rFonts w:hint="eastAsia" w:ascii="宋体" w:hAnsi="宋体" w:eastAsia="宋体" w:cs="宋体"/>
          <w:color w:val="000000"/>
          <w:spacing w:val="-2"/>
          <w:sz w:val="24"/>
          <w:szCs w:val="24"/>
          <w:lang w:val="en-US" w:eastAsia="zh-CN"/>
        </w:rPr>
        <w:t xml:space="preserve">设备具有≥8个10M/100M/1000M自适应RJ45接口、≥2个1000M SFP光口；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2、</w:t>
      </w:r>
      <w:r>
        <w:rPr>
          <w:rFonts w:hint="eastAsia" w:ascii="宋体" w:hAnsi="宋体" w:eastAsia="宋体" w:cs="宋体"/>
          <w:color w:val="000000"/>
          <w:spacing w:val="-2"/>
          <w:sz w:val="24"/>
          <w:szCs w:val="24"/>
          <w:lang w:val="en-US" w:eastAsia="zh-CN"/>
        </w:rPr>
        <w:t xml:space="preserve">可设置图片的存储空间，在规定的空间内自动循环覆盖，剩余空间为录像存储空间；</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3、</w:t>
      </w:r>
      <w:r>
        <w:rPr>
          <w:rFonts w:hint="eastAsia" w:ascii="宋体" w:hAnsi="宋体" w:eastAsia="宋体" w:cs="宋体"/>
          <w:color w:val="000000"/>
          <w:spacing w:val="-2"/>
          <w:sz w:val="24"/>
          <w:szCs w:val="24"/>
          <w:lang w:val="en-US" w:eastAsia="zh-CN"/>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4、</w:t>
      </w:r>
      <w:r>
        <w:rPr>
          <w:rFonts w:hint="eastAsia" w:ascii="宋体" w:hAnsi="宋体" w:eastAsia="宋体" w:cs="宋体"/>
          <w:color w:val="000000"/>
          <w:spacing w:val="-2"/>
          <w:sz w:val="24"/>
          <w:szCs w:val="24"/>
          <w:lang w:val="en-US" w:eastAsia="zh-CN"/>
        </w:rPr>
        <w:t xml:space="preserve">支持对通行车辆的信息（记录和图片、录像）存储，可配置多种字符叠加、图片合成模式，支持区间测速功能；</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5、</w:t>
      </w:r>
      <w:r>
        <w:rPr>
          <w:rFonts w:hint="eastAsia" w:ascii="宋体" w:hAnsi="宋体" w:eastAsia="宋体" w:cs="宋体"/>
          <w:color w:val="000000"/>
          <w:spacing w:val="-2"/>
          <w:sz w:val="24"/>
          <w:szCs w:val="24"/>
          <w:lang w:val="en-US" w:eastAsia="zh-CN"/>
        </w:rPr>
        <w:t xml:space="preserve">设备内的录像、图片文件无法直接删除或者修改，只能通过循环覆盖和硬盘格式化操作；</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6、</w:t>
      </w:r>
      <w:r>
        <w:rPr>
          <w:rFonts w:hint="eastAsia" w:ascii="宋体" w:hAnsi="宋体" w:eastAsia="宋体" w:cs="宋体"/>
          <w:color w:val="000000"/>
          <w:spacing w:val="-2"/>
          <w:sz w:val="24"/>
          <w:szCs w:val="24"/>
          <w:lang w:val="en-US" w:eastAsia="zh-CN"/>
        </w:rPr>
        <w:t xml:space="preserve">可实时显示接入的摄像机、线圈、车检器、红绿灯检测器等前端设备的工作状态、样机内部温度、工作时间等信息；外接机柜门时具有机柜门状态实时显示与查询功能；</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7、</w:t>
      </w:r>
      <w:r>
        <w:rPr>
          <w:rFonts w:hint="eastAsia" w:ascii="宋体" w:hAnsi="宋体" w:eastAsia="宋体" w:cs="宋体"/>
          <w:color w:val="000000"/>
          <w:spacing w:val="-2"/>
          <w:sz w:val="24"/>
          <w:szCs w:val="24"/>
          <w:lang w:val="en-US" w:eastAsia="zh-CN"/>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▲8</w:t>
      </w:r>
      <w:r>
        <w:rPr>
          <w:rFonts w:hint="eastAsia" w:ascii="宋体" w:hAnsi="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设备均应具备权限管理、数据加密、运行日志功能 设备应设置操作口令，宜有图像加密，</w:t>
      </w:r>
      <w:r>
        <w:rPr>
          <w:rFonts w:hint="eastAsia" w:ascii="宋体" w:hAnsi="宋体" w:cs="宋体"/>
          <w:color w:val="000000"/>
          <w:spacing w:val="-2"/>
          <w:sz w:val="24"/>
          <w:szCs w:val="24"/>
          <w:highlight w:val="none"/>
          <w:lang w:val="en-US" w:eastAsia="zh-CN"/>
        </w:rPr>
        <w:t xml:space="preserve">防</w:t>
      </w:r>
      <w:r>
        <w:rPr>
          <w:rFonts w:hint="eastAsia" w:ascii="宋体" w:hAnsi="宋体" w:eastAsia="宋体" w:cs="宋体"/>
          <w:color w:val="000000"/>
          <w:spacing w:val="-2"/>
          <w:sz w:val="24"/>
          <w:szCs w:val="24"/>
          <w:lang w:val="en-US" w:eastAsia="zh-CN"/>
        </w:rPr>
        <w:t xml:space="preserve">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▲9</w:t>
      </w:r>
      <w:r>
        <w:rPr>
          <w:rFonts w:hint="eastAsia" w:ascii="宋体" w:hAnsi="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p>
      <w:pPr>
        <w:pStyle w:val="1100"/>
        <w:spacing w:line="360" w:lineRule="auto"/>
        <w:rPr>
          <w:rFonts w:hint="eastAsia" w:cs="宋体"/>
          <w:b/>
          <w:bCs/>
          <w:sz w:val="24"/>
          <w:highlight w:val="none"/>
          <w:lang w:eastAsia="zh-CN"/>
        </w:rPr>
      </w:pPr>
      <w:r>
        <w:rPr>
          <w:rFonts w:hint="eastAsia" w:ascii="宋体" w:hAnsi="宋体" w:eastAsia="宋体" w:cs="宋体"/>
          <w:b/>
          <w:bCs/>
          <w:sz w:val="24"/>
          <w:highlight w:val="none"/>
          <w:lang w:val="en-US" w:eastAsia="zh-CN"/>
        </w:rPr>
        <w:t xml:space="preserve">8.</w:t>
      </w:r>
      <w:r>
        <w:rPr>
          <w:rFonts w:hint="eastAsia" w:cs="宋体"/>
          <w:b/>
          <w:bCs/>
          <w:sz w:val="24"/>
          <w:highlight w:val="none"/>
          <w:lang w:val="en-US" w:eastAsia="zh-CN"/>
        </w:rPr>
        <w:t xml:space="preserve">3</w:t>
      </w:r>
      <w:r>
        <w:rPr>
          <w:rFonts w:hint="eastAsia" w:ascii="宋体" w:hAnsi="宋体" w:eastAsia="宋体" w:cs="宋体"/>
          <w:b/>
          <w:bCs/>
          <w:sz w:val="24"/>
          <w:highlight w:val="none"/>
          <w:lang w:eastAsia="zh-CN"/>
        </w:rPr>
        <w:t xml:space="preserve">、交通信号灯</w:t>
      </w:r>
      <w:r/>
    </w:p>
    <w:p>
      <w:pPr>
        <w:ind w:firstLine="504"/>
        <w:jc w:val="left"/>
        <w:spacing w:line="360" w:lineRule="auto"/>
        <w:rPr>
          <w:rFonts w:hint="eastAsia" w:ascii="Calibri" w:hAnsi="Calibri" w:eastAsia="宋体" w:cs="Times New Roman"/>
          <w:spacing w:val="6"/>
          <w:sz w:val="24"/>
          <w:szCs w:val="24"/>
          <w:highlight w:val="none"/>
          <w:lang w:val="en-US" w:eastAsia="zh-CN"/>
        </w:rPr>
      </w:pPr>
      <w:r>
        <w:rPr>
          <w:rFonts w:hint="eastAsia" w:ascii="Calibri" w:hAnsi="Calibri" w:eastAsia="宋体" w:cs="Times New Roman"/>
          <w:spacing w:val="6"/>
          <w:sz w:val="24"/>
          <w:szCs w:val="24"/>
          <w:highlight w:val="none"/>
          <w:lang w:val="en-US" w:eastAsia="zh-CN"/>
        </w:rPr>
        <w:t xml:space="preserve">机动车灯盘采用￠400型圆盘灯，超高亮发光二极管制造；考虑到学校门口路段实际地形因素，本批次信号灯现场安装根据现场设置情况选择“一体化立柱灯”。</w:t>
      </w:r>
      <w:r/>
    </w:p>
    <w:p>
      <w:pPr>
        <w:ind w:firstLine="504"/>
        <w:jc w:val="left"/>
        <w:spacing w:line="360" w:lineRule="auto"/>
        <w:rPr>
          <w:rFonts w:hint="eastAsia" w:ascii="宋体" w:hAnsi="宋体" w:cs="宋体"/>
          <w:b/>
          <w:bCs/>
          <w:sz w:val="24"/>
          <w:szCs w:val="24"/>
          <w:highlight w:val="none"/>
          <w:lang w:val="en-US" w:eastAsia="zh-CN"/>
        </w:rPr>
      </w:pPr>
      <w:r>
        <w:rPr>
          <w:rFonts w:hint="eastAsia" w:ascii="Calibri" w:hAnsi="Calibri" w:eastAsia="宋体" w:cs="Times New Roman"/>
          <w:spacing w:val="6"/>
          <w:sz w:val="24"/>
          <w:szCs w:val="24"/>
          <w:highlight w:val="none"/>
          <w:lang w:val="en-US" w:eastAsia="zh-CN"/>
        </w:rPr>
        <w:t xml:space="preserve">★信号灯需通过符合GB14887-2011《道路交通信号灯》中强制性项目的检测要求，达到合格标准。</w:t>
      </w:r>
      <w:r/>
    </w:p>
    <w:p>
      <w:pPr>
        <w:numPr>
          <w:ilvl w:val="0"/>
          <w:numId w:val="0"/>
        </w:numPr>
        <w:jc w:val="both"/>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w:t>
      </w:r>
      <w:r>
        <w:rPr>
          <w:rFonts w:hint="eastAsia" w:ascii="宋体" w:hAnsi="宋体" w:cs="宋体"/>
          <w:b/>
          <w:bCs/>
          <w:sz w:val="22"/>
          <w:szCs w:val="22"/>
          <w:highlight w:val="none"/>
          <w:lang w:val="en-US" w:eastAsia="zh-CN"/>
        </w:rPr>
        <w:t xml:space="preserve">机动车交通信号灯（一体化立柱灯）</w:t>
      </w:r>
      <w:r/>
    </w:p>
    <w:tbl>
      <w:tblPr>
        <w:tblStyle w:val="817"/>
        <w:tblW w:w="92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9"/>
      </w:tblGrid>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A、灯具性能参数：</w:t>
            </w:r>
            <w:r/>
          </w:p>
        </w:tc>
      </w:tr>
      <w:tr>
        <w:trPr>
          <w:trHeight w:val="482"/>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1、透光镜面：</w:t>
            </w:r>
            <w:r>
              <w:rPr>
                <w:rStyle w:val="1141"/>
                <w:rFonts w:hint="eastAsia" w:ascii="宋体" w:hAnsi="宋体" w:eastAsia="宋体" w:cs="宋体"/>
                <w:sz w:val="22"/>
                <w:szCs w:val="22"/>
                <w:highlight w:val="none"/>
                <w:lang w:val="en-US" w:eastAsia="zh-CN" w:bidi="ar"/>
              </w:rPr>
              <w:t xml:space="preserve">¢400；材质：PC塑料或铝材压铸；颜色：黑色；</w:t>
            </w:r>
            <w:r/>
          </w:p>
        </w:tc>
      </w:tr>
      <w:tr>
        <w:trPr>
          <w:trHeight w:val="484"/>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2、内容：红黄绿三色满屏灯分屏幕显示、最下面为倒计时器，从上到下呈四联架构；</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3、色度：红色（620-625）、黄色（585-590）、绿色（504-508）；</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4、光源：采用超高亮度LED；工作电源：187V-253V  50Hz；额定功率：小于25W；</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5、环境温度：-40℃~+80℃；相对湿度：≤95%；防护等级：IP54 ；</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6、可靠性：MTBF≥10000小时；可维护性：MTTR≤0.5小时；使用寿命：＞50000小时；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7、符合标准：GB 14887-2011；</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8、控制：手动按钮，实现手动触发型控制（定制）；</w:t>
            </w:r>
            <w:r/>
          </w:p>
        </w:tc>
      </w:tr>
      <w:tr>
        <w:trPr>
          <w:trHeight w:val="727"/>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numPr>
                <w:ilvl w:val="0"/>
                <w:numId w:val="0"/>
              </w:numPr>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color w:val="000000"/>
                <w:sz w:val="22"/>
                <w:szCs w:val="22"/>
                <w:highlight w:val="none"/>
                <w:lang w:val="en-US" w:eastAsia="zh-CN"/>
              </w:rPr>
              <w:t xml:space="preserve">9、单灯功率及功率因数：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lang w:val="en-US" w:eastAsia="zh-CN"/>
              </w:rPr>
              <w:t xml:space="preserve">【圆盘灯】功率：红色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16W、黄色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16W、绿色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 功率因数：红、黄、绿色均≥0.90</w:t>
            </w:r>
            <w:r>
              <w:rPr>
                <w:rFonts w:hint="eastAsia" w:ascii="宋体" w:hAnsi="宋体" w:eastAsia="宋体" w:cs="宋体"/>
                <w:b/>
                <w:bCs/>
                <w:color w:val="000000"/>
                <w:sz w:val="22"/>
                <w:szCs w:val="22"/>
                <w:highlight w:val="none"/>
                <w:lang w:val="en-US" w:eastAsia="zh-CN"/>
              </w:rPr>
              <w:t xml:space="preserve">；</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val="en-US" w:eastAsia="zh-CN"/>
              </w:rPr>
              <w:t xml:space="preserve">LED数量：（圆盘灯）红、黄LED数量不少于120支、绿色不少于108支；</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11、LED参数：光强：红、黄色≥6000mcd；绿色≥10000mcd；</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12、波长：红625nm、黄590nm、绿505nm；</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13</w:t>
            </w:r>
            <w:r>
              <w:rPr>
                <w:rFonts w:hint="eastAsia" w:ascii="宋体" w:hAnsi="宋体" w:eastAsia="宋体" w:cs="宋体"/>
                <w:color w:val="000000"/>
                <w:sz w:val="22"/>
                <w:szCs w:val="22"/>
                <w:highlight w:val="none"/>
              </w:rPr>
              <w:t xml:space="preserve">、防尘：符合 GB14887-2011 标准；</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、抗振动：符合 GB14887-2011 标准；</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B、杆体性能参数：</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1、组成：5.2米型材、板材钢结构+镀锌钢板组成（铝合金侧槽可选）；</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2、焊接表面光滑，无堆焊、无气孔、无咬边，无影响强度的裂纹、夹渣、焊瘤、毛刺、漏焊、烧穿及褶皱现象；</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3、立杆与底法兰连接处采用双面焊接,内焊加强筋；</w:t>
            </w:r>
            <w:r/>
          </w:p>
        </w:tc>
      </w:tr>
      <w:tr>
        <w:trPr>
          <w:trHeight w:val="576"/>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4、杆件经前处理后整体热浸镀锌，当基材厚度≤5mm时，锌层厚度≥65μm；当基材厚度≥5mm时，锌层厚度≥86μm，表面无发黑、粗糙、流痕、锌粒、锌渣现象；</w:t>
            </w:r>
            <w:r/>
          </w:p>
        </w:tc>
      </w:tr>
      <w:tr>
        <w:trPr>
          <w:trHeight w:val="6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5、杆件外表面热镀锌后抛光打磨，并采用优质室外耐候性纯聚酯粉末，经静电喷涂；要求表面颜色一致、光滑、无微粒、无桔皮现象，塑层平均厚度在70µｍ以上，无粉化、脱落、剥离现象；</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6、喷涂颜色根据客户实际需要确定；</w:t>
            </w:r>
            <w:r/>
          </w:p>
        </w:tc>
      </w:tr>
    </w:tbl>
    <w:p>
      <w:pPr>
        <w:numPr>
          <w:ilvl w:val="0"/>
          <w:numId w:val="0"/>
        </w:numPr>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numPr>
          <w:ilvl w:val="0"/>
          <w:numId w:val="0"/>
        </w:numPr>
        <w:jc w:val="both"/>
        <w:rPr>
          <w:rFonts w:hint="eastAsia"/>
          <w:highlight w:val="none"/>
          <w:lang w:val="en-US" w:eastAsia="zh-CN"/>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2"/>
          <w:szCs w:val="22"/>
          <w:highlight w:val="none"/>
          <w:lang w:val="en-US" w:eastAsia="zh-CN"/>
        </w:rPr>
        <w:t xml:space="preserve">“申请式”行人过街信号系统</w:t>
      </w:r>
      <w:r/>
    </w:p>
    <w:tbl>
      <w:tblPr>
        <w:tblStyle w:val="817"/>
        <w:tblW w:w="92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9"/>
      </w:tblGrid>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A、灯具性能参数：</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1、透光镜面：</w:t>
            </w:r>
            <w:r>
              <w:rPr>
                <w:rStyle w:val="1141"/>
                <w:rFonts w:hint="eastAsia" w:ascii="宋体" w:hAnsi="宋体" w:eastAsia="宋体" w:cs="宋体"/>
                <w:sz w:val="22"/>
                <w:szCs w:val="22"/>
                <w:highlight w:val="none"/>
                <w:lang w:val="en-US" w:eastAsia="zh-CN" w:bidi="ar"/>
              </w:rPr>
              <w:t xml:space="preserve">¢300；材质：PC塑料或铝材压铸；颜色：黑色；</w:t>
            </w:r>
            <w:r/>
          </w:p>
        </w:tc>
      </w:tr>
      <w:tr>
        <w:trPr>
          <w:trHeight w:val="9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2、内容：行人图案，2灯，上灯红人静止复合绿倒计时，下灯绿人动态复合红倒计时；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3、色度：红色（620-625），绿色（504-508）；</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4、光源：采用超高亮度LED；工作电源：187V-253V  50Hz；额定功率：小于10W；</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5、环境温度：-40℃~+80℃；相对湿度：≤95%；防护等级：IP54 ；</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6、可靠性：MTBF≥10000小时；可维护性：MTTR≤0.5小时；使用寿命：＞50000小时；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7、符合标准：GB 14887-2011；</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8、控制：手动按钮，实现手动触发型控制；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B、杆体性能参数：</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1、组成：3.5米型材、板材钢结构+镀锌钢板组成（铝合金侧槽可选）；</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2、焊接表面光滑，无堆焊、无气孔、无咬边，无影响强度的裂纹、夹渣、焊瘤、毛刺、漏焊、烧穿及褶皱现象；</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3、立杆与底法兰连接处采用双面焊接,内焊加强筋；</w:t>
            </w:r>
            <w:r/>
          </w:p>
        </w:tc>
      </w:tr>
      <w:tr>
        <w:trPr>
          <w:trHeight w:val="576"/>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4、杆件经前处理后整体热浸镀锌，当基材厚度≤5mm时，锌层厚度≥65μm；当基材厚度≥5mm时，锌层厚度≥86μm，表面无发黑、粗糙、流痕、锌粒、锌渣现象；</w:t>
            </w:r>
            <w:r/>
          </w:p>
        </w:tc>
      </w:tr>
      <w:tr>
        <w:trPr>
          <w:trHeight w:val="6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5、杆件外表面热镀锌后抛光打磨，并采用优质室外耐候性纯聚酯粉末，经静电喷涂；要求表面颜色一致、光滑、无微粒、无桔皮现象，塑层平均厚度在70µｍ以上，无粉化、脱落、剥离现象；</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6、喷涂颜色根据客户实际需要确定；</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C、功能参数</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1、支持交通信号智能控制常规功能；</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2、支持根据路口、路段通行状况进行特殊管控功能；</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pageBreakBefore w:val="0"/>
              <w:spacing w:line="240" w:lineRule="auto"/>
              <w:widowControl w:val="off"/>
              <w:rPr>
                <w:rFonts w:hint="default" w:ascii="宋体" w:hAnsi="宋体" w:eastAsia="宋体" w:cs="宋体"/>
                <w:i w:val="0"/>
                <w:iCs w:val="0"/>
                <w:color w:val="ff0000"/>
                <w:sz w:val="21"/>
                <w:szCs w:val="21"/>
                <w:highlight w:val="none"/>
                <w:u w:val="none"/>
                <w:lang w:val="en-US" w:eastAsia="zh-CN" w:bidi="ar"/>
              </w:rPr>
              <w:outlineLvl w:val="9"/>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现场配</w:t>
            </w:r>
            <w:r>
              <w:rPr>
                <w:rFonts w:hint="eastAsia" w:ascii="宋体" w:hAnsi="宋体" w:eastAsia="宋体" w:cs="宋体"/>
                <w:color w:val="auto"/>
                <w:sz w:val="21"/>
                <w:szCs w:val="21"/>
                <w:highlight w:val="none"/>
              </w:rPr>
              <w:t xml:space="preserve">置方式灵活：</w:t>
            </w:r>
            <w:r>
              <w:rPr>
                <w:rFonts w:hint="eastAsia" w:ascii="宋体" w:hAnsi="宋体" w:eastAsia="宋体" w:cs="宋体"/>
                <w:color w:val="auto"/>
                <w:sz w:val="21"/>
                <w:szCs w:val="21"/>
                <w:highlight w:val="none"/>
                <w:u w:val="none"/>
              </w:rPr>
              <w:t xml:space="preserve">支持基于平板或手提电脑等的智能交通信号控制配置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实现交通信号控制</w:t>
            </w:r>
            <w:r>
              <w:rPr>
                <w:rFonts w:hint="eastAsia" w:ascii="宋体" w:hAnsi="宋体" w:eastAsia="宋体" w:cs="宋体"/>
                <w:color w:val="auto"/>
                <w:sz w:val="21"/>
                <w:szCs w:val="21"/>
                <w:highlight w:val="none"/>
              </w:rPr>
              <w:t xml:space="preserve">。</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pageBreakBefore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支持接入交通信号中心控制；</w:t>
            </w:r>
            <w:r/>
          </w:p>
        </w:tc>
      </w:tr>
    </w:tbl>
    <w:p>
      <w:pPr>
        <w:numPr>
          <w:ilvl w:val="0"/>
          <w:numId w:val="0"/>
        </w:numPr>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numPr>
          <w:ilvl w:val="0"/>
          <w:numId w:val="0"/>
        </w:num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2"/>
          <w:szCs w:val="22"/>
          <w:highlight w:val="none"/>
          <w:lang w:val="en-US" w:eastAsia="zh-CN"/>
        </w:rPr>
        <w:t xml:space="preserve">监控悬臂式八角锥形杆件（6M\9M）</w:t>
      </w:r>
      <w:r/>
    </w:p>
    <w:tbl>
      <w:tblPr>
        <w:tblStyle w:val="817"/>
        <w:tblW w:w="924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48"/>
      </w:tblGrid>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监控类杆件基本要求：</w:t>
            </w:r>
            <w:r/>
          </w:p>
        </w:tc>
      </w:tr>
      <w:tr>
        <w:trPr>
          <w:trHeight w:val="418"/>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1、主杆与横杆通过法兰连接，连接螺丝采用热镀锌材质，强度</w:t>
            </w:r>
            <w:r>
              <w:rPr>
                <w:rFonts w:hint="eastAsia" w:ascii="宋体" w:hAnsi="宋体" w:eastAsia="宋体" w:cs="宋体"/>
                <w:i w:val="0"/>
                <w:iCs w:val="0"/>
                <w:color w:val="000000"/>
                <w:sz w:val="22"/>
                <w:szCs w:val="22"/>
                <w:highlight w:val="none"/>
                <w:u w:val="none"/>
                <w:lang w:val="en-US" w:eastAsia="en-US" w:bidi="ar"/>
              </w:rPr>
              <w:t xml:space="preserve">8.8级；</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2、杆件要求热镀锌喷塑，要求为白色；</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3、横杆要求冷弯，弯曲地方不许采用焊接连接；</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4、杆体距地面</w:t>
            </w:r>
            <w:r>
              <w:rPr>
                <w:rFonts w:hint="eastAsia" w:ascii="宋体" w:hAnsi="宋体" w:eastAsia="宋体" w:cs="宋体"/>
                <w:i w:val="0"/>
                <w:iCs w:val="0"/>
                <w:color w:val="000000"/>
                <w:sz w:val="22"/>
                <w:szCs w:val="22"/>
                <w:highlight w:val="none"/>
                <w:u w:val="none"/>
                <w:lang w:val="en-US" w:eastAsia="en-US" w:bidi="ar"/>
              </w:rPr>
              <w:t xml:space="preserve">300mm-400mm处留有穿线孔，孔的上方焊接防水檐；</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5、杆件抗风等级应达</w:t>
            </w:r>
            <w:r>
              <w:rPr>
                <w:rFonts w:hint="eastAsia" w:ascii="宋体" w:hAnsi="宋体" w:eastAsia="宋体" w:cs="宋体"/>
                <w:i w:val="0"/>
                <w:iCs w:val="0"/>
                <w:color w:val="000000"/>
                <w:sz w:val="22"/>
                <w:szCs w:val="22"/>
                <w:highlight w:val="none"/>
                <w:u w:val="none"/>
                <w:lang w:val="en-US" w:eastAsia="en-US" w:bidi="ar"/>
              </w:rPr>
              <w:t xml:space="preserve">12级；</w:t>
            </w:r>
            <w:r/>
          </w:p>
        </w:tc>
      </w:tr>
      <w:tr>
        <w:trPr>
          <w:trHeight w:val="7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6、杆件应安装保护地线，保护地线使用镀锌扁钢制作，焊接到每个钢制杆件的法兰盘上；焊接处作防腐处理。保护地线与接地体</w:t>
            </w:r>
            <w:r>
              <w:rPr>
                <w:rFonts w:hint="eastAsia" w:ascii="宋体" w:hAnsi="宋体" w:eastAsia="宋体" w:cs="宋体"/>
                <w:i w:val="0"/>
                <w:iCs w:val="0"/>
                <w:color w:val="000000"/>
                <w:sz w:val="22"/>
                <w:szCs w:val="22"/>
                <w:highlight w:val="none"/>
                <w:u w:val="none"/>
                <w:lang w:val="en-US" w:eastAsia="en-US" w:bidi="ar"/>
              </w:rPr>
              <w:t xml:space="preserve">/接地棒有效连接，接地电阻应小于4Ω。</w:t>
            </w:r>
            <w:r/>
          </w:p>
        </w:tc>
      </w:tr>
      <w:tr>
        <w:trPr>
          <w:trHeight w:val="664"/>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en-US" w:bidi="ar"/>
              </w:rPr>
              <w:t xml:space="preserve">电警立杆高度6.5米、横臂长度</w:t>
            </w:r>
            <w:r>
              <w:rPr>
                <w:rFonts w:hint="eastAsia" w:ascii="宋体" w:hAnsi="宋体" w:eastAsia="宋体" w:cs="宋体"/>
                <w:i w:val="0"/>
                <w:iCs w:val="0"/>
                <w:color w:val="000000"/>
                <w:sz w:val="22"/>
                <w:szCs w:val="22"/>
                <w:highlight w:val="none"/>
                <w:u w:val="none"/>
                <w:lang w:val="en-US" w:eastAsia="zh-CN" w:bidi="ar"/>
              </w:rPr>
              <w:t xml:space="preserve">根据各安装点位综合测量</w:t>
            </w:r>
            <w:r>
              <w:rPr>
                <w:rFonts w:hint="eastAsia" w:ascii="宋体" w:hAnsi="宋体" w:eastAsia="宋体" w:cs="宋体"/>
                <w:i w:val="0"/>
                <w:iCs w:val="0"/>
                <w:color w:val="000000"/>
                <w:sz w:val="22"/>
                <w:szCs w:val="22"/>
                <w:highlight w:val="none"/>
                <w:u w:val="none"/>
                <w:lang w:val="en-US" w:eastAsia="en-US" w:bidi="ar"/>
              </w:rPr>
              <w:t xml:space="preserve">，满足信号灯及抓拍要求确定。杆件壁厚必须满足抗风12级以上要求。</w:t>
            </w:r>
            <w:r/>
          </w:p>
        </w:tc>
      </w:tr>
      <w:tr>
        <w:trPr>
          <w:trHeight w:val="434"/>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8、详细杆件规格及尺寸参见清单要求。</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基础基本要求：</w:t>
            </w:r>
            <w:r/>
          </w:p>
        </w:tc>
      </w:tr>
      <w:tr>
        <w:trPr>
          <w:trHeight w:val="482"/>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1、基础采用</w:t>
            </w:r>
            <w:r>
              <w:rPr>
                <w:rFonts w:hint="eastAsia" w:ascii="宋体" w:hAnsi="宋体" w:eastAsia="宋体" w:cs="宋体"/>
                <w:i w:val="0"/>
                <w:iCs w:val="0"/>
                <w:color w:val="000000"/>
                <w:sz w:val="22"/>
                <w:szCs w:val="22"/>
                <w:highlight w:val="none"/>
                <w:u w:val="none"/>
                <w:lang w:val="en-US" w:eastAsia="en-US" w:bidi="ar"/>
              </w:rPr>
              <w:t xml:space="preserve">C30筋商品混凝土。基础的浇注、混凝土强度等级必须符合GB50204的要求。</w:t>
            </w:r>
            <w:r/>
          </w:p>
        </w:tc>
      </w:tr>
      <w:tr>
        <w:trPr>
          <w:trHeight w:val="422"/>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涉及基坑开挖等基础施工需要提前和道路市政管理部门协调，办理相关手续后再行施工。施工时严格执行道路市政管理方的要求及施工规范，按规定施工，在城区道口涉及对路面非主干部分切割及开挖管道时，均需得到市政管理部门的许可后实施，施工结束后要恢复原样，涉及城区基坑开挖、非开挖顶管施工作业办理相关手续由建设单位落实协调办理。</w:t>
            </w:r>
            <w:r/>
          </w:p>
        </w:tc>
      </w:tr>
      <w:tr>
        <w:trPr>
          <w:trHeight w:val="4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基础钢筋笼要求：</w:t>
            </w:r>
            <w:r/>
          </w:p>
        </w:tc>
      </w:tr>
      <w:tr>
        <w:trPr>
          <w:trHeight w:val="48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1、钢筋采用</w:t>
            </w:r>
            <w:r>
              <w:rPr>
                <w:rFonts w:hint="eastAsia" w:ascii="宋体" w:hAnsi="宋体" w:eastAsia="宋体" w:cs="宋体"/>
                <w:i w:val="0"/>
                <w:iCs w:val="0"/>
                <w:color w:val="000000"/>
                <w:sz w:val="22"/>
                <w:szCs w:val="22"/>
                <w:highlight w:val="none"/>
                <w:u w:val="none"/>
                <w:lang w:val="en-US" w:eastAsia="en-US" w:bidi="ar"/>
              </w:rPr>
              <w:t xml:space="preserve">HRB400；基础混凝土为C30。</w:t>
            </w:r>
            <w:r/>
          </w:p>
        </w:tc>
      </w:tr>
      <w:tr>
        <w:trPr>
          <w:trHeight w:val="6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2、钢构件连接板材质应为</w:t>
            </w:r>
            <w:r>
              <w:rPr>
                <w:rFonts w:hint="eastAsia" w:ascii="宋体" w:hAnsi="宋体" w:eastAsia="宋体" w:cs="宋体"/>
                <w:i w:val="0"/>
                <w:iCs w:val="0"/>
                <w:color w:val="000000"/>
                <w:sz w:val="22"/>
                <w:szCs w:val="22"/>
                <w:highlight w:val="none"/>
                <w:u w:val="none"/>
                <w:lang w:val="en-US" w:eastAsia="en-US" w:bidi="ar"/>
              </w:rPr>
              <w:t xml:space="preserve">Q235B，其力学性能和化学成分应符合《碳素结构钢》（GB/T700-2006）的规定。</w:t>
            </w:r>
            <w:r/>
          </w:p>
        </w:tc>
      </w:tr>
      <w:tr>
        <w:trPr>
          <w:trHeight w:val="7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3、地基承载力特征值不小于</w:t>
            </w:r>
            <w:r>
              <w:rPr>
                <w:rFonts w:hint="eastAsia" w:ascii="宋体" w:hAnsi="宋体" w:eastAsia="宋体" w:cs="宋体"/>
                <w:i w:val="0"/>
                <w:iCs w:val="0"/>
                <w:color w:val="000000"/>
                <w:sz w:val="22"/>
                <w:szCs w:val="22"/>
                <w:highlight w:val="none"/>
                <w:u w:val="none"/>
                <w:lang w:val="en-US" w:eastAsia="en-US" w:bidi="ar"/>
              </w:rPr>
              <w:t xml:space="preserve">120kPa。基础设计时取地基承载力fak=120kPa。基础应坐落于好土层上。若好土层位置较深，则应采取粘土换填，换填至设计标高，换填深度为0.6m，压实系数为0.97。</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4、地脚螺栓外露部分须双螺母和垫块固定，材质采用热镀锌加大加厚垫片及热镀锌国标件螺帽。</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5、钢结构的安装应按照《</w:t>
            </w:r>
            <w:r>
              <w:rPr>
                <w:rFonts w:hint="eastAsia" w:ascii="宋体" w:hAnsi="宋体" w:eastAsia="宋体" w:cs="宋体"/>
                <w:i w:val="0"/>
                <w:iCs w:val="0"/>
                <w:color w:val="000000"/>
                <w:sz w:val="22"/>
                <w:szCs w:val="22"/>
                <w:highlight w:val="none"/>
                <w:u w:val="none"/>
                <w:lang w:val="en-US" w:eastAsia="en-US" w:bidi="ar"/>
              </w:rPr>
              <w:t xml:space="preserve">GB50205-2001》、《JG144-2016》进行。</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6、基础范围内的上部及周边的回填土应用粘土分层压实回填，压实系数为</w:t>
            </w:r>
            <w:r>
              <w:rPr>
                <w:rFonts w:hint="eastAsia" w:ascii="宋体" w:hAnsi="宋体" w:eastAsia="宋体" w:cs="宋体"/>
                <w:i w:val="0"/>
                <w:iCs w:val="0"/>
                <w:color w:val="000000"/>
                <w:sz w:val="22"/>
                <w:szCs w:val="22"/>
                <w:highlight w:val="none"/>
                <w:u w:val="none"/>
                <w:lang w:val="en-US" w:eastAsia="en-US" w:bidi="ar"/>
              </w:rPr>
              <w:t xml:space="preserve">0.94。</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防雷接地要求：</w:t>
            </w:r>
            <w:r/>
          </w:p>
        </w:tc>
      </w:tr>
      <w:tr>
        <w:trPr>
          <w:trHeight w:val="7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1、设备有要求时应进行工作接地、所有配套的外露金属设施构件都应按照</w:t>
            </w:r>
            <w:r>
              <w:rPr>
                <w:rFonts w:hint="eastAsia" w:ascii="宋体" w:hAnsi="宋体" w:eastAsia="宋体" w:cs="宋体"/>
                <w:i w:val="0"/>
                <w:iCs w:val="0"/>
                <w:color w:val="000000"/>
                <w:sz w:val="22"/>
                <w:szCs w:val="22"/>
                <w:highlight w:val="none"/>
                <w:u w:val="none"/>
                <w:lang w:val="en-US" w:eastAsia="en-US" w:bidi="ar"/>
              </w:rPr>
              <w:t xml:space="preserve">IEC的有关规定进行综合接地处理，接地电阻必须小于设备规定的工作接地和安全接地电阻，综合接地电阻≤4Ω。</w:t>
            </w:r>
            <w:r/>
          </w:p>
        </w:tc>
      </w:tr>
      <w:tr>
        <w:trPr>
          <w:trHeight w:val="576"/>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2、所有接地极的接地电阻将进行测量；经测量达不到要求时，将在接地极回填土中加入无腐蚀性长效降阻剂；当仍达不到要求时，将经过业主同意，采用更换接地装置的措施。</w:t>
            </w:r>
            <w:r/>
          </w:p>
        </w:tc>
      </w:tr>
    </w:tbl>
    <w:p>
      <w:pPr>
        <w:pStyle w:val="1100"/>
        <w:spacing w:line="360" w:lineRule="auto"/>
        <w:rPr>
          <w:rFonts w:hint="eastAsia" w:cs="宋体"/>
          <w:b/>
          <w:bCs/>
          <w:sz w:val="24"/>
          <w:lang w:eastAsia="zh-CN"/>
        </w:rPr>
      </w:pPr>
      <w:r>
        <w:rPr>
          <w:rFonts w:hint="eastAsia" w:cs="宋体"/>
          <w:b/>
          <w:bCs/>
          <w:sz w:val="24"/>
          <w:lang w:eastAsia="zh-CN"/>
        </w:rPr>
      </w:r>
      <w:r/>
    </w:p>
    <w:p>
      <w:pPr>
        <w:pStyle w:val="1100"/>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信号灯故障智能检测系统参数：</w:t>
      </w:r>
      <w:r/>
    </w:p>
    <w:tbl>
      <w:tblPr>
        <w:tblStyle w:val="817"/>
        <w:tblW w:w="8524" w:type="dxa"/>
        <w:jc w:val="center"/>
        <w:tblLayout w:type="autofit"/>
        <w:tblCellMar>
          <w:left w:w="108" w:type="dxa"/>
          <w:top w:w="0" w:type="dxa"/>
          <w:right w:w="108" w:type="dxa"/>
          <w:bottom w:w="0" w:type="dxa"/>
        </w:tblCellMar>
        <w:tblLook w:val="04A0" w:firstRow="1" w:lastRow="0" w:firstColumn="1" w:lastColumn="0" w:noHBand="0" w:noVBand="1"/>
      </w:tblPr>
      <w:tblGrid>
        <w:gridCol w:w="770"/>
        <w:gridCol w:w="1850"/>
        <w:gridCol w:w="5904"/>
      </w:tblGrid>
      <w:tr>
        <w:trPr>
          <w:jc w:val="center"/>
          <w:trHeight w:val="50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val="false"/>
          </w:tcPr>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产品名称</w:t>
            </w:r>
            <w:r/>
          </w:p>
        </w:tc>
        <w:tc>
          <w:tcPr>
            <w:tcBorders>
              <w:top w:val="single" w:color="000000" w:sz="4" w:space="0"/>
              <w:left w:val="none" w:color="000000" w:sz="4" w:space="0"/>
              <w:bottom w:val="single" w:color="000000" w:sz="4" w:space="0"/>
              <w:right w:val="single" w:color="000000" w:sz="4" w:space="0"/>
            </w:tcBorders>
            <w:tcW w:w="5904"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产品描述</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智能运维基础模块</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1.支持资产管理，包括平台同步设备/通道、智能设备、IT基础设备、软件应用；</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2.支持设备在线状态、视频点播、视频质量诊断、录像完整性、卡口抓拍量检测等功能，并支持对以上异常故障的报警及可视化报表统计；</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通道授权</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智能运维NMS的通道授权模块；每份包含100路通道授权</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交警设备设施故障检测模块</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检测区域和检测算法配置</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支持对视频通道进行信号灯、LED屏等检测对象检测区配置，支持基于实时通道图片画面进行检测区绘制圈选出检测目标，同时可配置对应检测类型和算法类型，以及对算法分析时长进行配置；</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运维硬件服务器</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CPU：不低于8物理核心/16线程</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内存：配置不低于2根16GB DDR4内存，容量最高支持至256GB</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网卡：板载集成千兆双口+双口千兆网卡</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通过riser卡可提供2种PCIe选择：最大可支持2个×8 PCIe 插槽，可支持1块全高半长加1块半高半长PCIe卡最大可支持1个×16 PCIe 插槽</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SAS3008卡，支持RAID0/1/10</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硬盘：2T LFF SATA × 2</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交通事件检测智能服务器</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硬盘：1块2.5寸128GB SSD，2块3.5寸4TB硬盘</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内存：4根8GB DDR4内存条</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智能卡数量：2块智能分析卡</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主处理器：CPU不低于4核8线程，3.6GHz</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支持运行红绿灯检测运维算法分析；单台支持不低于32路400万视频分析；</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数据库扩容</w:t>
            </w:r>
            <w:r/>
          </w:p>
        </w:tc>
        <w:tc>
          <w:tcPr>
            <w:tcBorders>
              <w:top w:val="single" w:color="000000" w:sz="4" w:space="0"/>
              <w:left w:val="singl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支持5亿条数据量存储</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日增数据写入500万条/天（单条数据平均2K）</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接入：针对实时流数据提供安全，可靠，可弹性扩展的数据接入能力，支持从kafka、RabbitMQ等主流中间件数据源以消息流方式接入实时结构化数据，包括：过车数据，人脸数据，Mac数据，RFID数据，档案类数据等</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数据生命周期管理：支持用户自定义配置数据存储生命周期，自动删除超过生命周期的数据</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高级查询接口：1、提供统一API查询接口功能：对上层业务实现了API统一封装，便于上层业务查询对接2、提供通用SQL查询接口功能：支持通过自定义SQL语句方式查询业务数据</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运维管理：1、支持对数据库系统运维：支持服务启停、支持修改IP以及密码、支持数据库巡检2、支持对数据库监控功能：支持监控系统整体运行情况3、提供数据管家功能：支持创建业务表，支持管理数据接入任务</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流媒体节点软件</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转发参数：支持单节点256路转发（4M码流、四网口绑定）</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存储参数：或支持单节点256路存储（4M码流、四网口绑定）；或 支持单节点400路车辆卡口存储（四网口绑定）</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接入参数：支持5000私有协议接入，或2500国标接入，或5000主动注册，或2500 Onvif接入</w:t>
            </w:r>
            <w:r/>
          </w:p>
        </w:tc>
      </w:tr>
      <w:tr>
        <w:trPr>
          <w:jc w:val="center"/>
          <w:trHeight w:val="2696"/>
        </w:trPr>
        <w:tc>
          <w:tcPr>
            <w:tcBorders>
              <w:top w:val="single" w:color="000000" w:sz="4" w:space="0"/>
              <w:left w:val="single" w:color="000000" w:sz="4" w:space="0"/>
              <w:bottom w:val="single" w:color="auto"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8</w:t>
            </w:r>
            <w:r/>
          </w:p>
        </w:tc>
        <w:tc>
          <w:tcPr>
            <w:tcBorders>
              <w:top w:val="single" w:color="000000" w:sz="4" w:space="0"/>
              <w:left w:val="none" w:color="000000" w:sz="4" w:space="0"/>
              <w:bottom w:val="single" w:color="auto"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流媒体节点服务器</w:t>
            </w:r>
            <w:r/>
          </w:p>
        </w:tc>
        <w:tc>
          <w:tcPr>
            <w:tcBorders>
              <w:top w:val="single" w:color="000000" w:sz="4" w:space="0"/>
              <w:left w:val="none" w:color="000000" w:sz="4" w:space="0"/>
              <w:bottom w:val="single" w:color="auto"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处理器：2颗Intel Xeon 4210（R）×2.2G 9.6UPI 13.75M 10C 85W</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内存：配置4条16GB DDR4 2933 REG内存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固态硬盘（SSD）：配置2块480G 2.5寸-SATA固态硬盘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机械硬盘（HDD）：配置2块2T 3.5</w:t>
            </w:r>
            <w:r>
              <w:rPr>
                <w:rFonts w:hint="eastAsia" w:ascii="宋体" w:hAnsi="宋体" w:cs="宋体"/>
                <w:color w:val="000000"/>
                <w:spacing w:val="-2"/>
                <w:sz w:val="24"/>
                <w:szCs w:val="24"/>
                <w:lang w:val="en-US" w:eastAsia="zh-CN"/>
              </w:rPr>
              <w:t xml:space="preserve">寸</w:t>
            </w:r>
            <w:r>
              <w:rPr>
                <w:rFonts w:hint="eastAsia" w:ascii="宋体" w:hAnsi="宋体" w:eastAsia="宋体" w:cs="宋体"/>
                <w:color w:val="000000"/>
                <w:spacing w:val="-2"/>
                <w:sz w:val="24"/>
                <w:szCs w:val="24"/>
                <w:lang w:val="en-US" w:eastAsia="zh-CN"/>
              </w:rPr>
              <w:t xml:space="preserve"> 7.2K 6GbSATA热插拔硬盘；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RAID控制器：LSI SAS3008 SAS卡（IR）</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网卡：双口千兆 RJ45网卡+四口千兆 RJ45网卡+板载双口千兆RJ45网卡</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电源：双电源/550 W/</w:t>
            </w:r>
            <w:r/>
          </w:p>
        </w:tc>
      </w:tr>
    </w:tbl>
    <w:p>
      <w:pPr>
        <w:pStyle w:val="1100"/>
        <w:numPr>
          <w:ilvl w:val="0"/>
          <w:numId w:val="15"/>
        </w:numPr>
        <w:spacing w:line="360" w:lineRule="auto"/>
        <w:rPr>
          <w:rFonts w:hint="eastAsia" w:ascii="宋体" w:hAnsi="宋体" w:eastAsia="宋体" w:cs="宋体"/>
          <w:b/>
          <w:bCs/>
          <w:sz w:val="24"/>
          <w:lang w:eastAsia="zh-CN"/>
        </w:rPr>
      </w:pPr>
      <w:r>
        <w:rPr>
          <w:rFonts w:hint="eastAsia" w:ascii="宋体" w:hAnsi="宋体" w:eastAsia="宋体" w:cs="宋体"/>
          <w:b/>
          <w:bCs/>
          <w:highlight w:val="none"/>
        </w:rPr>
        <w:t xml:space="preserve">声光电定向声波系统参数：</w:t>
      </w:r>
      <w:r/>
    </w:p>
    <w:p>
      <w:pPr>
        <w:pStyle w:val="1100"/>
        <w:spacing w:line="360" w:lineRule="auto"/>
        <w:rPr>
          <w:rFonts w:hint="default" w:ascii="宋体" w:hAnsi="宋体" w:eastAsia="宋体" w:cs="宋体"/>
          <w:b/>
          <w:bCs/>
          <w:color w:val="000000"/>
          <w:spacing w:val="-2"/>
          <w:sz w:val="24"/>
          <w:szCs w:val="24"/>
          <w:lang w:val="en-US" w:eastAsia="zh-CN" w:bidi="ar-SA"/>
        </w:rPr>
      </w:pPr>
      <w:r>
        <w:rPr>
          <w:rFonts w:hint="eastAsia" w:cs="宋体"/>
          <w:b/>
          <w:bCs/>
          <w:sz w:val="24"/>
          <w:lang w:val="en-US" w:eastAsia="zh-CN"/>
        </w:rPr>
        <w:t xml:space="preserve">10.1、</w:t>
      </w:r>
      <w:r>
        <w:rPr>
          <w:rFonts w:hint="default" w:ascii="宋体" w:hAnsi="宋体" w:eastAsia="宋体" w:cs="宋体"/>
          <w:b/>
          <w:bCs/>
          <w:color w:val="000000"/>
          <w:spacing w:val="-2"/>
          <w:sz w:val="24"/>
          <w:szCs w:val="24"/>
          <w:lang w:val="en-US" w:eastAsia="zh-CN" w:bidi="ar-SA"/>
        </w:rPr>
        <w:t xml:space="preserve">声光电预警终端（2组定向声波扬声器+10节爆闪灯）</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1、爆闪模块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DC12V-24V；尺寸：310×50×50mm，450×50×50mm。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电源输入范围：输入～220V；</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功率放大输出：2×30W、24Vdc、8Ω；</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待机功耗：≤1W、输入 24Vdc；</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网络接口：10/100M；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音频输入：1000mVrms、95dB；</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音频输出 ：300mVrms、10KΩ、95dB</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总额定功率小于等于80W；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频率1000Hz-3000Hz；</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单个扬声器灵敏度大于等于110db/w/m，额定功率小于等于25W；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轴向方向前方声音衰减小于等于0.5db/m；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后方声音衰减大于等于5db/m；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两侧声音衰减大于等于2.5db/m，且声音清晰可辨。</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3.设备箱体尺寸</w:t>
      </w:r>
      <w:r/>
    </w:p>
    <w:p>
      <w:pPr>
        <w:ind w:firstLine="504"/>
        <w:spacing w:line="360" w:lineRule="auto"/>
        <w:rPr>
          <w:rFonts w:hint="eastAsia" w:ascii="宋体" w:hAnsi="宋体" w:eastAsia="宋体" w:cs="宋体"/>
          <w:b/>
          <w:spacing w:val="6"/>
          <w:sz w:val="24"/>
          <w:szCs w:val="24"/>
          <w:lang w:val="en-US" w:eastAsia="zh-CN"/>
        </w:rPr>
      </w:pPr>
      <w:r>
        <w:rPr>
          <w:rFonts w:hint="eastAsia" w:ascii="宋体" w:hAnsi="宋体" w:eastAsia="宋体" w:cs="宋体"/>
          <w:spacing w:val="6"/>
          <w:sz w:val="24"/>
          <w:szCs w:val="24"/>
          <w:lang w:val="en-US" w:eastAsia="zh-CN"/>
        </w:rPr>
        <w:t xml:space="preserve">尺寸：长340×宽330×高620</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10.2、声光电预警终端（4组定向声波扬声器+LED显示屏+6节爆闪灯）</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1.爆闪模块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DC12V-24V；尺寸：450×50×50mm。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4组定向喇叭模块；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总额定功率小于等于100W；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频率1000Hz-3000Hz；</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单个扬声器灵敏度大于等于110db/w/m，额定功率小于等于25W；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轴向方向前方声音衰减小于等于0.5db/m；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后方声音衰减大于等于5db/m；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两侧声音衰减大于等于2.5db/m，且声音清晰可辨。</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3.显示屏模块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显示面积：960×800mm；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显示分辨率：96×80；</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显示基色：双色。</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4.设备箱体尺寸</w:t>
      </w:r>
      <w:r/>
    </w:p>
    <w:p>
      <w:pPr>
        <w:pStyle w:val="1100"/>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尺寸：长1020×宽330×高1550mm。</w:t>
      </w:r>
      <w:r/>
    </w:p>
    <w:p>
      <w:pPr>
        <w:pStyle w:val="1100"/>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电子哨兵系统参数：</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11.1、相机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1、采用一体机，内置优于或等于12mm定焦镜头，雷达发射频率优于或等于80GHz；</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2、传感器尺寸≥1/1.8 英寸，视频分辨率≥4M（2688×1520）；</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3、可设置显示自定义文字信息、字体大小、字体颜色等，可设置不低于两个输出显示屏IP 地址；</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4、</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spacing w:val="6"/>
          <w:sz w:val="24"/>
          <w:szCs w:val="24"/>
          <w:lang w:val="en-US" w:eastAsia="zh-CN"/>
        </w:rPr>
        <w:t xml:space="preserve">（提供公安部检测报告</w:t>
      </w:r>
      <w:r>
        <w:rPr>
          <w:rFonts w:hint="eastAsia" w:ascii="宋体" w:hAnsi="宋体" w:cs="宋体"/>
          <w:b/>
          <w:bCs/>
          <w:spacing w:val="6"/>
          <w:sz w:val="24"/>
          <w:szCs w:val="24"/>
          <w:lang w:val="en-US" w:eastAsia="zh-CN"/>
        </w:rPr>
        <w:t xml:space="preserve">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5、支持雷达数据和视频数据融合，在雷达可视化界面上显示跟踪目标速度、ID、距离；</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6、支持捕获通过监测点的车辆图像；支持识别通过监测点的车辆的车牌信息；</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spacing w:val="6"/>
          <w:sz w:val="24"/>
          <w:szCs w:val="24"/>
          <w:lang w:val="en-US" w:eastAsia="zh-CN"/>
        </w:rPr>
        <w:t xml:space="preserve">（提供公安部检测报告</w:t>
      </w:r>
      <w:r>
        <w:rPr>
          <w:rFonts w:hint="eastAsia" w:ascii="宋体" w:hAnsi="宋体" w:cs="宋体"/>
          <w:b/>
          <w:bCs/>
          <w:spacing w:val="6"/>
          <w:sz w:val="24"/>
          <w:szCs w:val="24"/>
          <w:lang w:val="en-US" w:eastAsia="zh-CN"/>
        </w:rPr>
        <w:t xml:space="preserve">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8、支持超速、道路安全预警事件进行抓拍、短录像并进行报警；</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9、设备安装高度在3m~6m时，雷达检测正向运动目标的盲区不大于5m（距安装点位的距离）；</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10、▲支持屏幕内容在Web端实时显示；</w:t>
      </w:r>
      <w:r>
        <w:rPr>
          <w:rFonts w:hint="eastAsia" w:ascii="宋体" w:hAnsi="宋体" w:eastAsia="宋体" w:cs="宋体"/>
          <w:b/>
          <w:bCs/>
          <w:spacing w:val="6"/>
          <w:sz w:val="24"/>
          <w:szCs w:val="24"/>
          <w:lang w:val="en-US" w:eastAsia="zh-CN"/>
        </w:rPr>
        <w:t xml:space="preserve">（提供公安部检测报告</w:t>
      </w:r>
      <w:r>
        <w:rPr>
          <w:rFonts w:hint="eastAsia" w:ascii="宋体" w:hAnsi="宋体" w:cs="宋体"/>
          <w:b/>
          <w:bCs/>
          <w:spacing w:val="6"/>
          <w:sz w:val="24"/>
          <w:szCs w:val="24"/>
          <w:lang w:val="en-US" w:eastAsia="zh-CN"/>
        </w:rPr>
        <w:t xml:space="preserve">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b/>
          <w:spacing w:val="6"/>
          <w:sz w:val="24"/>
          <w:szCs w:val="24"/>
          <w:lang w:val="en-US" w:eastAsia="zh-CN"/>
        </w:rPr>
      </w:pPr>
      <w:r>
        <w:rPr>
          <w:rFonts w:hint="eastAsia" w:ascii="宋体" w:hAnsi="宋体" w:eastAsia="宋体" w:cs="宋体"/>
          <w:spacing w:val="6"/>
          <w:sz w:val="24"/>
          <w:szCs w:val="24"/>
          <w:lang w:val="en-US" w:eastAsia="zh-CN"/>
        </w:rPr>
        <w:t xml:space="preserve">11</w:t>
      </w:r>
      <w:r>
        <w:rPr>
          <w:rFonts w:hint="eastAsia" w:ascii="宋体" w:hAnsi="宋体" w:cs="宋体"/>
          <w:spacing w:val="6"/>
          <w:sz w:val="24"/>
          <w:szCs w:val="24"/>
          <w:lang w:val="en-US" w:eastAsia="zh-CN"/>
        </w:rPr>
        <w:t xml:space="preserve">、</w:t>
      </w:r>
      <w:r>
        <w:rPr>
          <w:rFonts w:hint="eastAsia" w:ascii="宋体" w:hAnsi="宋体" w:eastAsia="宋体" w:cs="宋体"/>
          <w:spacing w:val="6"/>
          <w:sz w:val="24"/>
          <w:szCs w:val="24"/>
          <w:lang w:val="en-US" w:eastAsia="zh-CN"/>
        </w:rPr>
        <w:t xml:space="preserve">具有不低于1个RS232，2个RS485；1路DC12V电源输入接口，1路报警输出接口，1路DC48V/AC24V交直流自适应电源输入接口。</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11.2、交通信息发布屏</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1、物理间距：P10；</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2、像素组成：红绿双基色（支持红，绿，黄三种颜色显示）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3、显示尺寸：1280mm×640mm</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4、亮度：≥6000cd/m2；</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5、显示内容：支持发布中文、英文、数字、简单图片；</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6、显示方式：支持静止显示、翻页显示、滚动显示；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7、字体：支持16/24/32号字体；</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8、语音：支持万能语音播报；</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9、防护等级：IP54；</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11.3、4路智能终端管理盒</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1、内置8个10M/100M自适应以太网口，视频接入模式码流支持180Mbps，卡口合成模式码流支持100Mbps；标配≥4T硬盘；</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2、支持预览界面视频流通道展示相机IP与实时码流大小；</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3、支持将 1/2/3/4 张原始图片进行合成，支持多种合成形状选择，图片顺序可任意修改；支持去除原始图片黑边；</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4、支持硬盘图片和录像配额比例设置，支持盘满循环覆盖；</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5、历史存储数据防删改功能：录像、图片文件无法直接删除，只能通过循环覆盖和硬盘格式化操作；</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6、支持客户端与前端摄像机分别连接该设备的不同网段时，通过端口映射客户端可以跨网段访问前端摄像机并操作配置；</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7、视频接入模式支持不低于12路网络压缩高清视频输入，卡口合成模式支持不低于4路网络压缩高清视频输入；</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8、支持双网卡路由设置，支持展示已添加的路由；</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9、支持对于记录在存储介质上的视（音）频信息，取出的存储介质应能在相同型号的其他设备上正常回放，以保证设备发生故障后记录资料的留存（或复制）；</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10、支持自动注册设置选项，可设置平台地址、端口、子设备ID；</w:t>
      </w:r>
      <w:r/>
    </w:p>
    <w:p>
      <w:pPr>
        <w:ind w:firstLine="504"/>
        <w:jc w:val="left"/>
        <w:keepLines w:val="0"/>
        <w:keepNext w:val="0"/>
        <w:pageBreakBefore w:val="0"/>
        <w:spacing w:line="36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11、</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支持同时对接4个屏幕，支持按通道设置对应的屏号，支持按行驶方向将不同方向的车辆信息发布到不同屏幕上；</w:t>
      </w:r>
      <w:r>
        <w:rPr>
          <w:rFonts w:hint="eastAsia" w:ascii="宋体" w:hAnsi="宋体" w:eastAsia="宋体" w:cs="宋体"/>
          <w:b/>
          <w:bCs/>
          <w:spacing w:val="6"/>
          <w:sz w:val="24"/>
          <w:szCs w:val="24"/>
          <w:lang w:val="en-US" w:eastAsia="zh-CN"/>
        </w:rPr>
        <w:t xml:space="preserve">（提供公安部检测报告扫描件加盖投标人公章）</w:t>
      </w:r>
      <w:r>
        <w:rPr>
          <w:rFonts w:hint="eastAsia" w:ascii="宋体" w:hAnsi="宋体" w:eastAsia="宋体" w:cs="宋体"/>
          <w:spacing w:val="6"/>
          <w:sz w:val="24"/>
          <w:szCs w:val="24"/>
          <w:lang w:val="en-US" w:eastAsia="zh-CN"/>
        </w:rPr>
        <w:t xml:space="preserve">                   </w:t>
      </w:r>
      <w:r>
        <w:rPr>
          <w:rFonts w:hint="eastAsia" w:ascii="宋体" w:hAnsi="宋体" w:cs="宋体"/>
          <w:spacing w:val="6"/>
          <w:sz w:val="24"/>
          <w:szCs w:val="24"/>
          <w:lang w:val="en-US" w:eastAsia="zh-CN"/>
        </w:rPr>
        <w:t xml:space="preserve">      </w:t>
      </w:r>
      <w:r>
        <w:rPr>
          <w:rFonts w:hint="eastAsia" w:ascii="宋体" w:hAnsi="宋体" w:eastAsia="宋体" w:cs="宋体"/>
          <w:spacing w:val="6"/>
          <w:sz w:val="24"/>
          <w:szCs w:val="24"/>
          <w:lang w:val="en-US" w:eastAsia="zh-CN"/>
        </w:rPr>
        <w:t xml:space="preserve">12、</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spacing w:val="6"/>
          <w:sz w:val="24"/>
          <w:szCs w:val="24"/>
          <w:lang w:val="en-US" w:eastAsia="zh-CN"/>
        </w:rPr>
        <w:t xml:space="preserve">（提供公安部检测报告扫描件加盖投标人公章）</w:t>
      </w:r>
      <w:r/>
    </w:p>
    <w:p>
      <w:pPr>
        <w:pStyle w:val="1100"/>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无人机方舱系统参数：</w:t>
      </w:r>
      <w:r/>
    </w:p>
    <w:tbl>
      <w:tblPr>
        <w:tblStyle w:val="817"/>
        <w:tblW w:w="8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100"/>
        <w:gridCol w:w="6850"/>
      </w:tblGrid>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序号</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设备名称</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技术参数要求</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无人机小型机场</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设备保险服务</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包含两年机库及飞机设备的原厂保障服务。包含所投设备（所有零部件，易损件，电池等消耗品）的机损、维修服务。</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无人机三责险</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第三者责任险 ≥（100万/年），共计两年</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备用电池</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电池需适配所投无人机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充电循环次数≥200次</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探照灯</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含支架安装尺寸：≤100 x 170 x 30 mm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▲重量：≤100g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▲最大功耗：≥30W</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安装方式：快拆手拧螺丝，可同时安装喊话器</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喊话器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含支架安装尺寸：≤75 x 70 x 55 mm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重量：≤100g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▲一米处声压级：≥100dB</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▲广播距离：≥200m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最大功耗：≥15W</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安装方式：快拆手拧螺丝，可同时安装探照灯</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增强图传模块</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增强图传模块可将设备接入4G 网络，实现增强图传等多项功能。</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行业版遥控器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天线： ≥ 4 天线</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工作频段：支持2.4G、5.8G图传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显示器分辨率：地面站显示器应采用触摸屏，屏幕显示分辨率≥1920*1080p</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显示器亮度：显示器亮度≥1400尼特</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遥控器4G增强图传：支持4G增强图传模块，提升图传稳定性</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遥控器重量：不带外置电池重量≤1.2kg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接口：支持的接口包括HDMI 1.4，SD3.0，Type-C 支持 OTG，支持 PD 充电，USB-A</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遥控器支持外置电池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最大信号有效距离（无干扰、无遮挡）：≥ 20 公里（FCC）10公里（CE/SRRC/MIC）</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无人机信号中继固定站</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中继站系统精度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基站定位误差：</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单点精度（未标定）：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水平：1.5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星基差分精度：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收敛时间：20 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水平：30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垂直：40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网络 RTK 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中继站图传工作频率：2.4 GHz/5.2 GHz/5.8 GHz</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功率≥10瓦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内置电池工作时间≥3小时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工作环境温度：优于-20℃ 至 50°C</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11</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安装部署费用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包含安装部署的人力、交通、物流、辅材等费用。</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12</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运维保养费用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包含两年机库及飞机的运维保养服务，现场保养不低于一个季度一次。</w:t>
            </w:r>
            <w:r/>
          </w:p>
        </w:tc>
      </w:tr>
    </w:tbl>
    <w:p>
      <w:pPr>
        <w:pStyle w:val="1100"/>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行人过街预警系统参数：</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13.1、功能要求：</w:t>
      </w:r>
      <w:r/>
    </w:p>
    <w:p>
      <w:pPr>
        <w:pStyle w:val="84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无线太阳能道钉</w:t>
      </w:r>
      <w:r>
        <w:rPr>
          <w:rFonts w:hint="eastAsia" w:ascii="宋体" w:hAnsi="宋体" w:cs="宋体"/>
          <w:sz w:val="24"/>
          <w:szCs w:val="24"/>
          <w:highlight w:val="none"/>
          <w:lang w:val="en-US" w:eastAsia="zh-CN"/>
        </w:rPr>
        <w:t xml:space="preserve">在人行横道位置保持</w:t>
      </w:r>
      <w:r>
        <w:rPr>
          <w:rFonts w:hint="eastAsia" w:ascii="宋体" w:hAnsi="宋体" w:eastAsia="宋体" w:cs="宋体"/>
          <w:sz w:val="24"/>
          <w:szCs w:val="24"/>
          <w:highlight w:val="none"/>
          <w:lang w:val="en-US" w:eastAsia="zh-CN"/>
        </w:rPr>
        <w:t xml:space="preserve">黄色频闪</w:t>
      </w:r>
      <w:r>
        <w:rPr>
          <w:rFonts w:hint="eastAsia" w:ascii="宋体" w:hAnsi="宋体" w:cs="宋体"/>
          <w:sz w:val="24"/>
          <w:szCs w:val="24"/>
          <w:highlight w:val="none"/>
          <w:lang w:val="en-US" w:eastAsia="zh-CN"/>
        </w:rPr>
        <w:t xml:space="preserve">用于警示过往车辆</w:t>
      </w:r>
      <w:r>
        <w:rPr>
          <w:rFonts w:hint="eastAsia" w:ascii="宋体" w:hAnsi="宋体" w:eastAsia="宋体" w:cs="宋体"/>
          <w:sz w:val="24"/>
          <w:szCs w:val="24"/>
          <w:highlight w:val="none"/>
          <w:lang w:val="en-US" w:eastAsia="zh-CN"/>
        </w:rPr>
        <w:t xml:space="preserve">。</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13.2、参数要求：</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1）产品应采用太阳能方式，采用高效单晶硅低照度太阳电池；</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2）根据行人过街检测单元路口情况，实时控制道钉变换不同的颜色，警示来往车辆；</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3）标准光强下，充电一天可工作≥48小时,电池充满电后可连续工作≥100小时；</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4）发光颜色：支持黄、白、红灯3种颜色；；</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5）LED数量不少于3颗，单颗LED额定电流法相发光强度大于8000mcd；</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6）抗压荷载≥500KN（静态）；</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7）安装后突出路面高度：不大于6mm；</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8）发光器件亮度1～8级可调节；</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9）道钉出光轴与地平夹角不大于6度；</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10）夜间可视距离不低于200m；</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11）工作温度范围：-20℃至75℃；</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12）外廓尺寸：直径≤150mm；</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13）防水等级：IP68；</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14）道钉支持可拆卸维护；</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15）控制方式：支持基于本地光照亮度自动开启；支持无线受控模式。</w:t>
      </w:r>
      <w:r/>
    </w:p>
    <w:p>
      <w:pPr>
        <w:pStyle w:val="8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16）使用寿命：不低于5年</w:t>
      </w:r>
      <w:r/>
    </w:p>
    <w:p>
      <w:pPr>
        <w:pStyle w:val="1100"/>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lang w:val="en-US" w:eastAsia="zh-CN"/>
        </w:rPr>
        <w:t xml:space="preserve">标志、标线、护栏</w:t>
      </w:r>
      <w:r>
        <w:rPr>
          <w:rFonts w:hint="eastAsia" w:ascii="宋体" w:hAnsi="宋体" w:eastAsia="宋体" w:cs="宋体"/>
          <w:b/>
          <w:bCs/>
          <w:highlight w:val="none"/>
        </w:rPr>
        <w:t xml:space="preserve">参数：</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14.1</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交通标志</w:t>
      </w:r>
      <w:r>
        <w:rPr>
          <w:rFonts w:hint="eastAsia" w:ascii="宋体" w:hAnsi="宋体" w:eastAsia="宋体" w:cs="宋体"/>
          <w:b/>
          <w:sz w:val="24"/>
          <w:szCs w:val="24"/>
          <w:lang w:eastAsia="zh-CN"/>
        </w:rPr>
        <w:t xml:space="preserve">：</w:t>
      </w:r>
      <w:r/>
    </w:p>
    <w:p>
      <w:pPr>
        <w:pStyle w:val="82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全线均采用反光标志，推荐采用III类反光膜。标志底板采用铝合金板，铝合金板牌号5052-O。为了保证标志版面的平整度，标志板厚度采用2mm，并均用铝合金龙骨加固。</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14.2</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交通标线</w:t>
      </w:r>
      <w:r>
        <w:rPr>
          <w:rFonts w:hint="eastAsia" w:ascii="宋体" w:hAnsi="宋体" w:eastAsia="宋体" w:cs="宋体"/>
          <w:b/>
          <w:sz w:val="24"/>
          <w:szCs w:val="24"/>
          <w:lang w:eastAsia="zh-CN"/>
        </w:rPr>
        <w:t xml:space="preserve">：</w:t>
      </w:r>
      <w:r/>
    </w:p>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14.2.1、标线材料的选择</w:t>
      </w:r>
      <w:r/>
    </w:p>
    <w:p>
      <w:pPr>
        <w:ind w:firstLine="50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设计采用热熔型标线，为了使标线在黑夜具备较好的清晰度，需要使用寿命长，反光效果好的材料做标线，使用的标线涂料，应具备与路面粘结力强，干燥迅速，以及良好的耐磨性，持久性，抗滑性等特点，做出的标线应具有良好的视认性，宽度一致，间隔相等，边缘等齐，线形规则，线条流畅。</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1"/>
        <w:gridCol w:w="2381"/>
        <w:gridCol w:w="2381"/>
        <w:gridCol w:w="2382"/>
      </w:tblGrid>
      <w:tr>
        <w:trPr>
          <w:trHeight w:val="397"/>
        </w:trPr>
        <w:tc>
          <w:tcPr>
            <w:tcW w:w="2381" w:type="dxa"/>
            <w:vAlign w:val="center"/>
            <w:vMerge w:val="restart"/>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类别</w:t>
            </w:r>
            <w:r/>
          </w:p>
        </w:tc>
        <w:tc>
          <w:tcPr>
            <w:gridSpan w:val="2"/>
            <w:tcW w:w="476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逆反射亮度系数</w:t>
            </w:r>
            <w:r/>
          </w:p>
        </w:tc>
        <w:tc>
          <w:tcPr>
            <w:tcW w:w="2382" w:type="dxa"/>
            <w:vAlign w:val="center"/>
            <w:vMerge w:val="restart"/>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抗滑值</w:t>
            </w:r>
            <w:r/>
          </w:p>
        </w:tc>
      </w:tr>
      <w:tr>
        <w:trPr>
          <w:trHeight w:val="397"/>
        </w:trPr>
        <w:tc>
          <w:tcPr>
            <w:tcW w:w="2381" w:type="dxa"/>
            <w:vAlign w:val="center"/>
            <w:vMerge w:val="continue"/>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新施划标线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正常使用期间</w:t>
            </w:r>
            <w:r/>
          </w:p>
        </w:tc>
        <w:tc>
          <w:tcPr>
            <w:tcW w:w="2382" w:type="dxa"/>
            <w:vAlign w:val="center"/>
            <w:vMerge w:val="continue"/>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r>
            <w:r/>
          </w:p>
        </w:tc>
      </w:tr>
      <w:tr>
        <w:trPr>
          <w:trHeight w:val="397"/>
        </w:trPr>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白色反光标线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50mcd.</w:t>
            </w:r>
            <w:r>
              <w:rPr>
                <w:rFonts w:hint="eastAsia" w:ascii="宋体" w:hAnsi="宋体" w:eastAsia="宋体" w:cs="宋体"/>
                <w:spacing w:val="6"/>
                <w:sz w:val="24"/>
                <w:szCs w:val="24"/>
              </w:rPr>
              <w:t xml:space="preserve">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120</w:t>
            </w:r>
            <w:r>
              <w:rPr>
                <w:rFonts w:hint="eastAsia" w:ascii="宋体" w:hAnsi="宋体" w:eastAsia="宋体" w:cs="宋体"/>
                <w:spacing w:val="6"/>
                <w:sz w:val="24"/>
                <w:szCs w:val="24"/>
              </w:rPr>
              <w:t xml:space="preserve">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45BPN</w:t>
            </w:r>
            <w:r/>
          </w:p>
        </w:tc>
      </w:tr>
      <w:tr>
        <w:trPr>
          <w:trHeight w:val="397"/>
        </w:trPr>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黄色反光标线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15</w:t>
            </w:r>
            <w:r>
              <w:rPr>
                <w:rFonts w:hint="eastAsia" w:ascii="宋体" w:hAnsi="宋体" w:eastAsia="宋体" w:cs="宋体"/>
                <w:spacing w:val="6"/>
                <w:sz w:val="24"/>
                <w:szCs w:val="24"/>
              </w:rPr>
              <w:t xml:space="preserve">0mcd.m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7</w:t>
            </w:r>
            <w:r>
              <w:rPr>
                <w:rFonts w:hint="eastAsia" w:ascii="宋体" w:hAnsi="宋体" w:eastAsia="宋体" w:cs="宋体"/>
                <w:spacing w:val="6"/>
                <w:sz w:val="24"/>
                <w:szCs w:val="24"/>
              </w:rPr>
              <w:t xml:space="preserve">0mcd.m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45BPN</w:t>
            </w:r>
            <w:r/>
          </w:p>
        </w:tc>
      </w:tr>
    </w:tbl>
    <w:p>
      <w:pPr>
        <w:pStyle w:val="110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14.2.2、标线的施工要求如下：</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1、标线施工前，应对标线、图形、文字的位置进行测量放线，确定出精确位置后，再按照图复核无误后才能进行划线。</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2、标线必须宽度一致、间隔相等、线性规则、边缘整齐、线条流畅，标线涂层厚度调匀，无起泡、开裂、发粘、脱落等现象。</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3、标线的端线与边线应垂直，误差≯5°。</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4、涂料中预混玻璃珠含量应满足下表规定：</w:t>
      </w:r>
      <w:r/>
    </w:p>
    <w:tbl>
      <w:tblPr>
        <w:tblStyle w:val="843"/>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1800"/>
        <w:gridCol w:w="2381"/>
        <w:gridCol w:w="1607"/>
        <w:gridCol w:w="1748"/>
      </w:tblGrid>
      <w:tr>
        <w:trPr>
          <w:jc w:val="center"/>
          <w:trHeight w:val="561"/>
        </w:trPr>
        <w:tc>
          <w:tcPr>
            <w:tcW w:w="186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类别</w:t>
            </w:r>
            <w:r/>
          </w:p>
        </w:tc>
        <w:tc>
          <w:tcPr>
            <w:tcW w:w="180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型号</w:t>
            </w:r>
            <w:r/>
          </w:p>
        </w:tc>
        <w:tc>
          <w:tcPr>
            <w:tcW w:w="2381"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涂料中预混玻璃珠</w:t>
            </w:r>
            <w:r/>
          </w:p>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含量（质量百分比）</w:t>
            </w:r>
            <w:r/>
          </w:p>
        </w:tc>
        <w:tc>
          <w:tcPr>
            <w:tcW w:w="1607"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状态</w:t>
            </w:r>
            <w:r/>
          </w:p>
        </w:tc>
        <w:tc>
          <w:tcPr>
            <w:tcW w:w="1748"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形成表现后是否具有振动功能</w:t>
            </w:r>
            <w:r/>
          </w:p>
        </w:tc>
      </w:tr>
      <w:tr>
        <w:trPr>
          <w:jc w:val="center"/>
          <w:trHeight w:val="334"/>
        </w:trPr>
        <w:tc>
          <w:tcPr>
            <w:tcW w:w="186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热熔</w:t>
            </w:r>
            <w:r/>
          </w:p>
        </w:tc>
        <w:tc>
          <w:tcPr>
            <w:tcW w:w="180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反光型</w:t>
            </w:r>
            <w:r/>
          </w:p>
        </w:tc>
        <w:tc>
          <w:tcPr>
            <w:tcW w:w="2381"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30%</w:t>
            </w:r>
            <w:r/>
          </w:p>
        </w:tc>
        <w:tc>
          <w:tcPr>
            <w:tcW w:w="1607"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固态</w:t>
            </w:r>
            <w:r/>
          </w:p>
        </w:tc>
        <w:tc>
          <w:tcPr>
            <w:tcW w:w="1748"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否</w:t>
            </w:r>
            <w:r/>
          </w:p>
        </w:tc>
      </w:tr>
    </w:tbl>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5、标线表面撒玻璃微珠，应分布均匀，含量为18%-25%，玻璃珠的性能应符合现行国家标准《路面标线用玻璃珠》（GB/T 24722）。</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6、标线的端线与边线应垂直，误差≯±5°，其他特殊标线，其角度与设计值误差≯±3°。</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7、热熔标线涂层厚度</w:t>
      </w:r>
      <w:r>
        <w:rPr>
          <w:rFonts w:hint="eastAsia" w:ascii="宋体" w:hAnsi="宋体" w:eastAsia="宋体" w:cs="宋体"/>
          <w:spacing w:val="6"/>
          <w:sz w:val="24"/>
          <w:szCs w:val="24"/>
          <w:lang w:eastAsia="zh-CN"/>
        </w:rPr>
        <w:t xml:space="preserve">为</w:t>
      </w:r>
      <w:r>
        <w:rPr>
          <w:rFonts w:hint="eastAsia" w:ascii="宋体" w:hAnsi="宋体" w:eastAsia="宋体" w:cs="宋体"/>
          <w:spacing w:val="6"/>
          <w:sz w:val="24"/>
          <w:szCs w:val="24"/>
          <w:lang w:val="en-US" w:eastAsia="zh-CN"/>
        </w:rPr>
        <w:t xml:space="preserve">1.8+0.2</w:t>
      </w:r>
      <w:r>
        <w:rPr>
          <w:rFonts w:hint="eastAsia" w:ascii="宋体" w:hAnsi="宋体" w:eastAsia="宋体" w:cs="宋体"/>
          <w:spacing w:val="6"/>
          <w:sz w:val="24"/>
          <w:szCs w:val="24"/>
        </w:rPr>
        <w:t xml:space="preserve">mm。</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8</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eastAsia="zh-CN"/>
        </w:rPr>
        <w:t xml:space="preserve">防滑标线的抗滑性BPN值应不小于45</w:t>
      </w:r>
      <w:r>
        <w:rPr>
          <w:rFonts w:hint="eastAsia" w:ascii="宋体" w:hAnsi="宋体" w:eastAsia="宋体" w:cs="宋体"/>
          <w:spacing w:val="6"/>
          <w:sz w:val="24"/>
          <w:szCs w:val="24"/>
        </w:rPr>
        <w:t xml:space="preserve">。</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14.3</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防撞护栏</w:t>
      </w:r>
      <w:r>
        <w:rPr>
          <w:rFonts w:hint="eastAsia" w:ascii="宋体" w:hAnsi="宋体" w:eastAsia="宋体" w:cs="宋体"/>
          <w:b/>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w:t>
      </w:r>
      <w:r>
        <w:rPr>
          <w:rFonts w:hint="eastAsia" w:ascii="宋体" w:hAnsi="宋体" w:eastAsia="宋体" w:cs="宋体"/>
          <w:bCs/>
          <w:sz w:val="24"/>
          <w:szCs w:val="24"/>
          <w:lang w:eastAsia="zh-CN"/>
        </w:rPr>
        <w:t xml:space="preserve">距</w:t>
      </w:r>
      <w:r>
        <w:rPr>
          <w:rFonts w:hint="eastAsia" w:ascii="宋体" w:hAnsi="宋体" w:eastAsia="宋体" w:cs="宋体"/>
          <w:bCs/>
          <w:sz w:val="24"/>
          <w:szCs w:val="24"/>
        </w:rPr>
        <w:t xml:space="preserve">桥梁中心</w:t>
      </w:r>
      <w:r>
        <w:rPr>
          <w:rFonts w:hint="eastAsia" w:ascii="宋体" w:hAnsi="宋体" w:eastAsia="宋体" w:cs="宋体"/>
          <w:bCs/>
          <w:sz w:val="24"/>
          <w:szCs w:val="24"/>
          <w:lang w:val="en-US" w:eastAsia="zh-CN"/>
        </w:rPr>
        <w:t xml:space="preserve">4.25m</w:t>
      </w:r>
      <w:r>
        <w:rPr>
          <w:rFonts w:hint="eastAsia" w:ascii="宋体" w:hAnsi="宋体" w:eastAsia="宋体" w:cs="宋体"/>
          <w:bCs/>
          <w:sz w:val="24"/>
          <w:szCs w:val="24"/>
        </w:rPr>
        <w:t xml:space="preserve">处增设SAm级双防撞面钢护栏，护栏全宽50cm，栏杆总高度1.</w:t>
      </w: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m（1.</w:t>
      </w:r>
      <w:r>
        <w:rPr>
          <w:rFonts w:hint="eastAsia" w:ascii="宋体" w:hAnsi="宋体" w:eastAsia="宋体" w:cs="宋体"/>
          <w:bCs/>
          <w:sz w:val="24"/>
          <w:szCs w:val="24"/>
          <w:lang w:val="en-US" w:eastAsia="zh-CN"/>
        </w:rPr>
        <w:t xml:space="preserve">03</w:t>
      </w:r>
      <w:r>
        <w:rPr>
          <w:rFonts w:hint="eastAsia" w:ascii="宋体" w:hAnsi="宋体" w:eastAsia="宋体" w:cs="宋体"/>
          <w:bCs/>
          <w:sz w:val="24"/>
          <w:szCs w:val="24"/>
        </w:rPr>
        <w:t xml:space="preserve">m栏杆+0.</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m混凝土底座）；栏杆底座为（宽）50×（高）30cm的混凝土护栏底座，高度不包含铣刨的10cm沥青混凝土铺装层厚度。</w:t>
      </w:r>
      <w:r/>
    </w:p>
    <w:p>
      <w:pPr>
        <w:ind w:firstLine="480"/>
        <w:jc w:val="left"/>
        <w:spacing w:line="360" w:lineRule="auto"/>
        <w:rPr>
          <w:rFonts w:hint="eastAsia" w:ascii="宋体" w:hAnsi="宋体" w:eastAsia="宋体" w:cs="宋体"/>
          <w:b/>
          <w:spacing w:val="6"/>
          <w:sz w:val="24"/>
          <w:szCs w:val="24"/>
          <w:lang w:val="en-US" w:eastAsia="zh-CN"/>
        </w:rPr>
      </w:pPr>
      <w:r>
        <w:rPr>
          <w:rFonts w:hint="eastAsia" w:ascii="宋体" w:hAnsi="宋体" w:eastAsia="宋体" w:cs="宋体"/>
          <w:bCs/>
          <w:sz w:val="24"/>
          <w:szCs w:val="24"/>
        </w:rPr>
        <w:t xml:space="preserve">施工流程：铣刨</w:t>
      </w:r>
      <w:r>
        <w:rPr>
          <w:rFonts w:hint="eastAsia" w:ascii="宋体" w:hAnsi="宋体" w:eastAsia="宋体" w:cs="宋体"/>
          <w:bCs/>
          <w:sz w:val="24"/>
          <w:szCs w:val="24"/>
          <w:lang w:eastAsia="zh-CN"/>
        </w:rPr>
        <w:t xml:space="preserve">距</w:t>
      </w:r>
      <w:r>
        <w:rPr>
          <w:rFonts w:hint="eastAsia" w:ascii="宋体" w:hAnsi="宋体" w:eastAsia="宋体" w:cs="宋体"/>
          <w:bCs/>
          <w:sz w:val="24"/>
          <w:szCs w:val="24"/>
        </w:rPr>
        <w:t xml:space="preserve">桥梁中心线</w:t>
      </w:r>
      <w:r>
        <w:rPr>
          <w:rFonts w:hint="eastAsia" w:ascii="宋体" w:hAnsi="宋体" w:eastAsia="宋体" w:cs="宋体"/>
          <w:bCs/>
          <w:sz w:val="24"/>
          <w:szCs w:val="24"/>
          <w:lang w:eastAsia="zh-CN"/>
        </w:rPr>
        <w:t xml:space="preserve">两侧</w:t>
      </w:r>
      <w:r>
        <w:rPr>
          <w:rFonts w:hint="eastAsia" w:ascii="宋体" w:hAnsi="宋体" w:eastAsia="宋体" w:cs="宋体"/>
          <w:bCs/>
          <w:sz w:val="24"/>
          <w:szCs w:val="24"/>
          <w:lang w:val="en-US" w:eastAsia="zh-CN"/>
        </w:rPr>
        <w:t xml:space="preserve">4.25m~4.75m范围50</w:t>
      </w:r>
      <w:r>
        <w:rPr>
          <w:rFonts w:hint="eastAsia" w:ascii="宋体" w:hAnsi="宋体" w:eastAsia="宋体" w:cs="宋体"/>
          <w:bCs/>
          <w:sz w:val="24"/>
          <w:szCs w:val="24"/>
        </w:rPr>
        <w:t xml:space="preserve">cm</w:t>
      </w:r>
      <w:r>
        <w:rPr>
          <w:rFonts w:hint="eastAsia" w:ascii="宋体" w:hAnsi="宋体" w:eastAsia="宋体" w:cs="宋体"/>
          <w:bCs/>
          <w:sz w:val="24"/>
          <w:szCs w:val="24"/>
          <w:lang w:eastAsia="zh-CN"/>
        </w:rPr>
        <w:t xml:space="preserve">宽</w:t>
      </w:r>
      <w:r>
        <w:rPr>
          <w:rFonts w:hint="eastAsia" w:ascii="宋体" w:hAnsi="宋体" w:eastAsia="宋体" w:cs="宋体"/>
          <w:bCs/>
          <w:sz w:val="24"/>
          <w:szCs w:val="24"/>
        </w:rPr>
        <w:t xml:space="preserve">沥青铺装层，混凝土调平层顶面凿毛，凹凸差≥6mm，植入D</w:t>
      </w: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钢筋，植入深度20cm；绑扎底座钢筋，安装护栏预埋件，浇筑底座混凝土。 </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14.4</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隔离栏</w:t>
      </w:r>
      <w:r>
        <w:rPr>
          <w:rFonts w:hint="eastAsia" w:ascii="宋体" w:hAnsi="宋体" w:eastAsia="宋体" w:cs="宋体"/>
          <w:b/>
          <w:sz w:val="24"/>
          <w:szCs w:val="24"/>
          <w:lang w:eastAsia="zh-CN"/>
        </w:rPr>
        <w:t xml:space="preserve">：</w:t>
      </w:r>
      <w:r/>
    </w:p>
    <w:p>
      <w:pPr>
        <w:pStyle w:val="1100"/>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护栏钢构件采用热浸镀锌并静电喷塑防腐，上粉均匀无露青，保温固化达标，确保产品有良好的</w:t>
      </w:r>
      <w:r>
        <w:rPr>
          <w:rFonts w:hint="eastAsia" w:ascii="宋体" w:hAnsi="宋体" w:eastAsia="宋体" w:cs="宋体"/>
          <w:spacing w:val="6"/>
          <w:sz w:val="24"/>
          <w:szCs w:val="24"/>
          <w:highlight w:val="none"/>
          <w:lang w:val="en-US" w:eastAsia="zh-CN"/>
        </w:rPr>
        <w:t xml:space="preserve">耐候性</w:t>
      </w:r>
      <w:r>
        <w:rPr>
          <w:rFonts w:hint="eastAsia" w:ascii="宋体" w:hAnsi="宋体" w:eastAsia="宋体" w:cs="宋体"/>
          <w:spacing w:val="6"/>
          <w:sz w:val="24"/>
          <w:szCs w:val="24"/>
          <w:lang w:val="en-US" w:eastAsia="zh-CN"/>
        </w:rPr>
        <w:t xml:space="preserve">及长期户外不生锈，镀锌量不小于275g/m2，厚度不低于39um，喷塑层厚度不低于76um。紧固件需进行防腐处理，镀锌量不小于120g/m2，厚度不低于17um，喷塑层厚度不低于76um。</w:t>
      </w:r>
      <w:r/>
    </w:p>
    <w:p>
      <w:pPr>
        <w:pStyle w:val="1100"/>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每处隔离栏端部设置一根道口标柱。中央隔离栏临中分带开口的端部15m范围采用降低段，其余路段为一般段。</w:t>
      </w:r>
      <w:r/>
    </w:p>
    <w:p>
      <w:pPr>
        <w:pStyle w:val="1100"/>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隔离栏与防撞护栏衔接处立柱采用抱箍或其他方式连接。</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14.5</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轮廓标</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附着式轮廓标由反射器和铝合金板托架组成，</w:t>
      </w:r>
      <w:r>
        <w:rPr>
          <w:rFonts w:hint="eastAsia" w:ascii="宋体" w:hAnsi="宋体" w:eastAsia="宋体" w:cs="宋体"/>
          <w:sz w:val="24"/>
          <w:szCs w:val="24"/>
          <w:lang w:eastAsia="zh-CN"/>
        </w:rPr>
        <w:t xml:space="preserve">铝合金板厚度≥</w:t>
      </w:r>
      <w:r>
        <w:rPr>
          <w:rFonts w:hint="eastAsia" w:ascii="宋体" w:hAnsi="宋体" w:eastAsia="宋体" w:cs="宋体"/>
          <w:sz w:val="24"/>
          <w:szCs w:val="24"/>
          <w:lang w:val="en-US" w:eastAsia="zh-CN"/>
        </w:rPr>
        <w:t xml:space="preserve">2mm，附着式轮廓标通过连接螺栓固定在波形梁护栏的凹槽中或砼护栏身上。反射器为长方形。</w:t>
      </w:r>
      <w:r>
        <w:rPr>
          <w:rFonts w:hint="eastAsia" w:ascii="宋体" w:hAnsi="宋体" w:eastAsia="宋体" w:cs="宋体"/>
          <w:sz w:val="24"/>
          <w:szCs w:val="24"/>
        </w:rPr>
        <w:t xml:space="preserve">反光片的反光等级为IV类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反射器均以微棱镜型反射器为反光元件。</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外观质量</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轮廓标各部分应成型完整，表面平整光滑，表面不平度不应大于</w:t>
      </w:r>
      <w:r>
        <w:rPr>
          <w:rFonts w:hint="eastAsia" w:ascii="宋体" w:hAnsi="宋体" w:eastAsia="宋体" w:cs="宋体"/>
          <w:sz w:val="24"/>
          <w:szCs w:val="24"/>
          <w:lang w:val="en-US" w:eastAsia="zh-CN"/>
        </w:rPr>
        <w:t xml:space="preserve">2mm/m</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）轮廓标</w:t>
      </w:r>
      <w:r>
        <w:rPr>
          <w:rFonts w:hint="eastAsia" w:ascii="宋体" w:hAnsi="宋体" w:eastAsia="宋体" w:cs="宋体"/>
          <w:sz w:val="24"/>
          <w:szCs w:val="24"/>
          <w:lang w:eastAsia="zh-CN"/>
        </w:rPr>
        <w:t xml:space="preserve">不应有裂纹、拼接缝、边缘剥离、明显起泡、皱纹、划痕以及各种损伤</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不得出现颜色不均匀、逆反射性能不均匀以及反光亮度不均匀等缺陷。</w:t>
      </w:r>
      <w:r/>
    </w:p>
    <w:p>
      <w:pPr>
        <w:ind w:firstLine="480"/>
        <w:spacing w:line="360" w:lineRule="auto"/>
        <w:rPr>
          <w:rFonts w:hint="eastAsia"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c）采用钢构件制作的轮廓标底板、支架或连接件，其防腐层质量应符合</w:t>
      </w:r>
      <w:r>
        <w:rPr>
          <w:rFonts w:hint="eastAsia" w:ascii="宋体" w:hAnsi="宋体" w:eastAsia="宋体" w:cs="宋体"/>
          <w:sz w:val="24"/>
          <w:szCs w:val="24"/>
        </w:rPr>
        <w:t xml:space="preserve">《公路交通工程钢构件防腐技术条件》（GB/T 18226-2015）</w:t>
      </w:r>
      <w:r>
        <w:rPr>
          <w:rFonts w:hint="eastAsia" w:ascii="宋体" w:hAnsi="宋体" w:eastAsia="宋体" w:cs="宋体"/>
          <w:sz w:val="24"/>
          <w:szCs w:val="24"/>
          <w:lang w:val="en-US" w:eastAsia="zh-CN"/>
        </w:rPr>
        <w:t xml:space="preserve">的要求。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材料力学性能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制作轮廓标底板和支架的材料，其力学性能应符合以下要求：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采用铝合金板材时，使用GB/T 3880.1中规定的牌号；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采用钢板时，使用GB/T 25053规定的牌号。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色度性能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轮廓标逆反射材料色有白色和黄色两种，应符合GB/T18833的要求。其夜间色色品坐标和亮度因数应符合下表规定的范围。</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轮廓标色品坐标（逆反射材料夜间色）</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654675" cy="1143635"/>
                <wp:effectExtent l="0" t="0" r="3175" b="184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5654675" cy="1143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5.2pt;height:90.0pt;mso-wrap-distance-left:0.0pt;mso-wrap-distance-top:0.0pt;mso-wrap-distance-right:0.0pt;mso-wrap-distance-bottom:0.0pt;" stroked="f">
                <v:path textboxrect="0,0,0,0"/>
                <v:imagedata r:id="rId15" o:title=""/>
              </v:shape>
            </w:pict>
          </mc:Fallback>
        </mc:AlternateContent>
      </w:r>
      <w:r/>
    </w:p>
    <w:p>
      <w:pPr>
        <w:pStyle w:val="818"/>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965700" cy="4937760"/>
                <wp:effectExtent l="0" t="0" r="6350" b="152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4965700" cy="493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1.0pt;height:388.8pt;mso-wrap-distance-left:0.0pt;mso-wrap-distance-top:0.0pt;mso-wrap-distance-right:0.0pt;mso-wrap-distance-bottom:0.0pt;" stroked="f">
                <v:path textboxrect="0,0,0,0"/>
                <v:imagedata r:id="rId16" o:title=""/>
              </v:shape>
            </w:pict>
          </mc:Fallback>
        </mc:AlternateContent>
      </w:r>
      <w:r/>
    </w:p>
    <w:p>
      <w:pPr>
        <w:ind w:firstLine="480"/>
        <w:jc w:val="center"/>
        <w:spacing w:line="600" w:lineRule="exact"/>
        <w:rPr>
          <w:rFonts w:hint="eastAsia"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轮廓标色品图（逆反射材料夜间色）</w:t>
      </w:r>
      <w:r/>
    </w:p>
    <w:p>
      <w:pPr>
        <w:ind w:firstLine="480"/>
        <w:spacing w:line="6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光度性能</w:t>
      </w:r>
      <w:r/>
    </w:p>
    <w:p>
      <w:pPr>
        <w:ind w:firstLine="480"/>
        <w:spacing w:line="6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用作轮廓标的微棱镜型反射器的发光强度系数值不应低于</w:t>
      </w:r>
      <w:r>
        <w:rPr>
          <w:rFonts w:hint="eastAsia" w:ascii="宋体" w:hAnsi="宋体" w:eastAsia="宋体" w:cs="宋体"/>
          <w:sz w:val="24"/>
          <w:szCs w:val="24"/>
          <w:lang w:eastAsia="zh-CN"/>
        </w:rPr>
        <w:t xml:space="preserve">下</w:t>
      </w:r>
      <w:r>
        <w:rPr>
          <w:rFonts w:hint="eastAsia" w:ascii="宋体" w:hAnsi="宋体" w:eastAsia="宋体" w:cs="宋体"/>
          <w:sz w:val="24"/>
          <w:szCs w:val="24"/>
        </w:rPr>
        <w:t xml:space="preserve">表的规定</w:t>
      </w:r>
      <w:r>
        <w:rPr>
          <w:rFonts w:hint="eastAsia" w:ascii="宋体" w:hAnsi="宋体" w:eastAsia="宋体" w:cs="宋体"/>
          <w:sz w:val="24"/>
          <w:szCs w:val="24"/>
          <w:lang w:eastAsia="zh-CN"/>
        </w:rPr>
        <w:t xml:space="preserve">。</w:t>
      </w:r>
      <w:r/>
    </w:p>
    <w:p>
      <w:pPr>
        <w:ind w:firstLine="48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微棱镜型反射器的发光强度系数</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15"/>
        <w:gridCol w:w="2415"/>
        <w:gridCol w:w="2416"/>
      </w:tblGrid>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观测角α</w:t>
            </w:r>
            <w:r/>
          </w:p>
        </w:tc>
        <w:tc>
          <w:tcPr>
            <w:tcW w:w="2415"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入射角β</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（β</w:t>
            </w:r>
            <w:r>
              <w:rPr>
                <w:rFonts w:hint="eastAsia" w:ascii="宋体" w:hAnsi="宋体" w:eastAsia="宋体" w:cs="宋体"/>
                <w:sz w:val="24"/>
                <w:szCs w:val="24"/>
                <w:vertAlign w:val="subscript"/>
                <w:lang w:val="en-US" w:eastAsia="zh-CN"/>
              </w:rPr>
              <w:t xml:space="preserve">1</w:t>
            </w:r>
            <w:r>
              <w:rPr>
                <w:rFonts w:hint="eastAsia" w:ascii="宋体" w:hAnsi="宋体" w:eastAsia="宋体" w:cs="宋体"/>
                <w:sz w:val="24"/>
                <w:szCs w:val="24"/>
                <w:lang w:val="en-US" w:eastAsia="zh-CN"/>
              </w:rPr>
              <w:t xml:space="preserve">=0）</w:t>
            </w:r>
            <w:r/>
          </w:p>
        </w:tc>
        <w:tc>
          <w:tcPr>
            <w:gridSpan w:val="2"/>
            <w:tcW w:w="4831"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最小发光强度系数cd·lx</w:t>
            </w:r>
            <w:r>
              <w:rPr>
                <w:rFonts w:hint="eastAsia" w:ascii="宋体" w:hAnsi="宋体" w:eastAsia="宋体" w:cs="宋体"/>
                <w:sz w:val="24"/>
                <w:szCs w:val="24"/>
                <w:vertAlign w:val="superscript"/>
                <w:lang w:val="en-US" w:eastAsia="zh-CN"/>
              </w:rPr>
              <w:t xml:space="preserve">-1</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白色</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黄色</w:t>
            </w:r>
            <w:r/>
          </w:p>
        </w:tc>
      </w:tr>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0.2°</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2.90</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3.75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2.35</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w:t>
            </w:r>
            <w:r/>
          </w:p>
        </w:tc>
      </w:tr>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0.5°</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1.45</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1.20</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0.93</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0.56</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）反射器的密封性能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反射体不应出现被水或雾气渗入的现象。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）耐盐雾腐蚀性能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耐盐雾腐蚀试验后，各部件不应有变色、起泡、锈斑或被侵蚀的痕迹。反射器不应出现被水或雾气渗入的痕迹；反光膜不应出现渗漏或边缘被剥离的现象。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）耐高低温性能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耐高低温试验后，各部件不应出现裂缝、剥落、碎裂、起泡、翘曲或变形等破损的痕迹。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）耐候性能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连续自然暴露或人工加速老化试验后：</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）轮廓标应无明显的裂缝、刻痕、气泡、锈蚀、侵蚀、剥离、褪色、粉化或变形等破损的痕迹。</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）轮廓标各种颜色的色品坐标和亮度因素应保持</w:t>
      </w:r>
      <w:r>
        <w:rPr>
          <w:rFonts w:hint="eastAsia" w:ascii="宋体" w:hAnsi="宋体" w:eastAsia="宋体" w:cs="宋体"/>
          <w:sz w:val="24"/>
          <w:szCs w:val="24"/>
          <w:highlight w:val="none"/>
          <w:lang w:val="en-US" w:eastAsia="zh-CN"/>
        </w:rPr>
        <w:t xml:space="preserve">《轮廓标》（GB/T 24970-2020）</w:t>
      </w:r>
      <w:r>
        <w:rPr>
          <w:rFonts w:hint="eastAsia" w:ascii="宋体" w:hAnsi="宋体" w:eastAsia="宋体" w:cs="宋体"/>
          <w:sz w:val="24"/>
          <w:szCs w:val="24"/>
        </w:rPr>
        <w:t xml:space="preserve">规定的范围之内。</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）反射器不应出现被水渗入的痕迹；反光膜不应出现边缘被剥开的现象。</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）反射器的发光强度系数值不应低于</w:t>
      </w:r>
      <w:r>
        <w:rPr>
          <w:rFonts w:hint="eastAsia" w:ascii="宋体" w:hAnsi="宋体" w:eastAsia="宋体" w:cs="宋体"/>
          <w:sz w:val="24"/>
          <w:szCs w:val="24"/>
          <w:lang w:eastAsia="zh-CN"/>
        </w:rPr>
        <w:t xml:space="preserve">上</w:t>
      </w:r>
      <w:r>
        <w:rPr>
          <w:rFonts w:hint="eastAsia" w:ascii="宋体" w:hAnsi="宋体" w:eastAsia="宋体" w:cs="宋体"/>
          <w:sz w:val="24"/>
          <w:szCs w:val="24"/>
        </w:rPr>
        <w:t xml:space="preserve">表相应规定值的</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；反光膜的逆反射系数值不应低于《道路交通反光膜》（GB/T 18833-2012）相应规定值的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w:t>
      </w:r>
      <w:r/>
    </w:p>
    <w:p>
      <w:pPr>
        <w:pStyle w:val="1100"/>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杆件（信号类/监控类/标牌类）、基础线路、管路、接线井、控制箱等系统</w:t>
      </w:r>
      <w:r/>
    </w:p>
    <w:p>
      <w:pP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15</w:t>
      </w:r>
      <w:r>
        <w:rPr>
          <w:rFonts w:hint="eastAsia" w:ascii="宋体" w:hAnsi="宋体" w:eastAsia="宋体" w:cs="宋体"/>
          <w:b/>
          <w:sz w:val="24"/>
          <w:szCs w:val="24"/>
          <w:lang w:eastAsia="zh-CN"/>
        </w:rPr>
        <w:t xml:space="preserve">.1、杆件（L/F型信号类杆件、L型监控类杆件、F型标牌类杆件）</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（1）主杆与横杆通过法兰连接，连接螺丝采用热镀锌材质，强度8.8级；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（2）杆件要求热镀锌喷塑，要求为白色；</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（3）横杆要求冷弯，弯曲地方不许采用焊接连接；</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（4）杆体距地面300mm-400mm处留有穿线孔，孔的上方焊接防水檐；</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（5）杆件抗风等级应达12级；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（6）杆件应安装保护地线，保护地线使用镀锌扁钢制作，焊接到每个钢制杆件的法兰盘上；焊接处作防腐处理。保护地线与接地体/接地棒有效连接，接地电阻应小于</w:t>
      </w:r>
      <w:r>
        <w:rPr>
          <w:rFonts w:hint="eastAsia" w:ascii="Calibri" w:hAnsi="Calibri"/>
          <w:spacing w:val="6"/>
          <w:sz w:val="24"/>
          <w:szCs w:val="22"/>
          <w:highlight w:val="none"/>
          <w:lang w:val="en-US" w:eastAsia="zh-CN"/>
        </w:rPr>
        <w:t xml:space="preserve">4</w:t>
      </w:r>
      <w:r>
        <w:rPr>
          <w:rFonts w:hint="eastAsia" w:ascii="Calibri" w:hAnsi="Calibri"/>
          <w:spacing w:val="6"/>
          <w:sz w:val="24"/>
          <w:szCs w:val="22"/>
          <w:highlight w:val="none"/>
        </w:rPr>
        <w:t xml:space="preserve">Ω。</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（7）信号灯立杆详见图纸，横臂长度根据现场道路幅面进行实地测量，以满足信号灯及抓拍要求确定。杆件壁厚必须满足抗风12级以上要求。</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（8）本次杆件为成套采购，涉及每个方向杆件供货均包括杆件成套到货及安装调试到位正常</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交付使用所涵盖包括的各类配套辅材、配套连接件等，连接螺栓均要求强度8.8级。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9）杆件外表均采用热镀锌喷塑处理，外表喷塑为白色，机动车信号立杆高度详见图纸，横臂长度根据现场勘探实地尺量确定，行人灯立杆高度3M为宜，机动车信号灯灯盘均采用横式安装；行人灯灯盘竖立安装，上红下绿动人，杆件制作工艺同上；杆件（信号、监控）生产制作时，横杆小头处均设置悬挂球机的套丝固定件，立杆距离地面高度2</w:t>
      </w:r>
      <w:r>
        <w:rPr>
          <w:rFonts w:hint="eastAsia" w:ascii="Calibri" w:hAnsi="Calibri"/>
          <w:spacing w:val="6"/>
          <w:sz w:val="24"/>
          <w:szCs w:val="22"/>
          <w:highlight w:val="none"/>
          <w:lang w:val="en-US" w:eastAsia="zh-CN"/>
        </w:rPr>
        <w:t xml:space="preserve">.3</w:t>
      </w:r>
      <w:r>
        <w:rPr>
          <w:rFonts w:hint="eastAsia" w:ascii="Calibri" w:hAnsi="Calibri"/>
          <w:spacing w:val="6"/>
          <w:sz w:val="24"/>
          <w:szCs w:val="22"/>
          <w:highlight w:val="none"/>
        </w:rPr>
        <w:t xml:space="preserve">M-2.5M开孔，便于挂抱杆箱。</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（10）杆件（信号、监控）采用Q235钢材，立柱管壁厚度≥5mm</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根据横臂长短增加厚度</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,表面镀锌处理后喷涂白色烤漆，镀层厚度≥60μm，达到双重防锈、防腐。 行人灯杆件立杆高度</w:t>
      </w:r>
      <w:r>
        <w:rPr>
          <w:rFonts w:hint="eastAsia" w:ascii="Calibri" w:hAnsi="Calibri"/>
          <w:spacing w:val="6"/>
          <w:sz w:val="24"/>
          <w:szCs w:val="22"/>
          <w:highlight w:val="none"/>
          <w:lang w:val="en-US" w:eastAsia="zh-CN"/>
        </w:rPr>
        <w:t xml:space="preserve">需满足灯组净空高度2.5m安装</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上下等径管加工制作。</w:t>
      </w:r>
      <w:r/>
    </w:p>
    <w:p>
      <w:pPr>
        <w:pStyle w:val="1100"/>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15.2、信号控制线缆</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依据设计图按需配置</w:t>
      </w:r>
      <w:r>
        <w:rPr>
          <w:rFonts w:hint="eastAsia" w:ascii="宋体" w:hAnsi="宋体" w:eastAsia="宋体" w:cs="宋体"/>
          <w:color w:val="auto"/>
          <w:sz w:val="24"/>
          <w:szCs w:val="24"/>
          <w:lang w:eastAsia="zh-CN"/>
        </w:rPr>
        <w:t xml:space="preserve">：</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供电接电电缆采用室外防水铠装≥2*16规格的电缆。</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主干信号线缆采用规格≥RVV12*1.0mm2的电缆，确保每根灯杆里面均有备用缆芯，并考虑实际情况结合相关标准、规范要求。要求从机柜到灯头直接连接。所有控制设备需安装在信号机落地机柜、电警机柜、杆件抱杆箱中。</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人行灯、机动车灯信号线缆采用≥RVV4*1.0mm2规格的电缆。</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三色倒计时控制线缆采用≥RVV4*1.0mm2规格的电缆。</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电警系统电源线缆采用≥RVV3*1.0mm2规格的电缆,网络线缆采用超5类室外防水线缆，传输线缆采用室外防水铠装单模≥8芯光缆，LED频闪灯、补光灯线缆采用≥RVVP5*1.0mm2规格的电缆。</w:t>
      </w:r>
      <w:r/>
    </w:p>
    <w:p>
      <w:pPr>
        <w:pStyle w:val="110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其他系统电缆规格以具体图纸为准。</w:t>
      </w:r>
      <w:r/>
    </w:p>
    <w:p>
      <w:pPr>
        <w:pStyle w:val="110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15.3、机柜基础、机柜规格、杆件抱杆箱</w:t>
      </w:r>
      <w:r/>
    </w:p>
    <w:p>
      <w:pPr>
        <w:pStyle w:val="1100"/>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信号机柜、电警控制机柜立于一处，靠近设置，基础高于地面20CM以上；机柜旁必须设置便于维护的总接线</w:t>
      </w:r>
      <w:r>
        <w:rPr>
          <w:rFonts w:hint="eastAsia" w:ascii="宋体" w:hAnsi="宋体" w:eastAsia="宋体" w:cs="宋体"/>
          <w:color w:val="auto"/>
          <w:sz w:val="24"/>
          <w:szCs w:val="24"/>
          <w:lang w:val="en-US" w:eastAsia="zh-CN"/>
        </w:rPr>
        <w:t xml:space="preserve">窨</w:t>
      </w:r>
      <w:r>
        <w:rPr>
          <w:rFonts w:hint="eastAsia" w:ascii="宋体" w:hAnsi="宋体" w:eastAsia="宋体" w:cs="宋体"/>
          <w:color w:val="auto"/>
          <w:sz w:val="24"/>
          <w:szCs w:val="24"/>
          <w:lang w:eastAsia="zh-CN"/>
        </w:rPr>
        <w:t xml:space="preserve">井，井盖要求能承载1人站立的重量，材质采用复合材料重型或铸铁材料或水泥浇筑井盖。</w:t>
      </w:r>
      <w:r/>
    </w:p>
    <w:p>
      <w:pPr>
        <w:pStyle w:val="1100"/>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号机机箱应采取落地式安装方式，机箱为镀锌喷塑定制机柜，规格不得小于1480*690*460，系二边开门结构（双门），外部双门喷字（黑色“道路交通信号控制机”字样、红色“高压危险”字样），内部设置多层结构，箱体内主控板及设备的摆放位置、安装方式、接线方式、线缆敷设方式等应进行合理设计。信号机机柜内侧应设有存放设备布置图、接线图、维修记录等资料的存储盒，存储盒应能存放A4版面资料，厚度至少为2mm。机箱内应设置专用接地铜排，接地铜排的截面不小于100mm2，并应设置接地标志。在熔断器和电源开关处应有警告标志。</w:t>
      </w:r>
      <w:r/>
    </w:p>
    <w:p>
      <w:pPr>
        <w:pStyle w:val="1100"/>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警机柜应采取落地式安装方式，机箱为不锈钢材质或镀锌喷塑冷轧板定制机柜，规格不低于1200*600*500，系二边（双）开门结构，外部双门喷字（红色“交警专用”字样）内部设置三层结构，箱体内设备的摆放位置、安装方式、接线方式、线缆敷设方式等应进行合理设计。</w:t>
      </w:r>
      <w:r/>
    </w:p>
    <w:p>
      <w:pPr>
        <w:pStyle w:val="1100"/>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杆件抱杆箱，材质采用不锈钢201板加工制作，厚度1.0MM以上，规格不低于500*400*180，AB403锁具，边沿采用发泡密封条防水侵入；要求内部具备接电开关漏电保护开关（均要求带自动重合闸功能）、至少大于等于3位的多孔联排插座。</w:t>
      </w:r>
      <w:r/>
    </w:p>
    <w:p>
      <w:pPr>
        <w:pStyle w:val="110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15.4、交叉道口供电接电及主电接入线缆</w:t>
      </w:r>
      <w:r/>
    </w:p>
    <w:p>
      <w:pPr>
        <w:pStyle w:val="1100"/>
        <w:ind w:firstLine="480"/>
        <w:spacing w:line="360" w:lineRule="auto"/>
        <w:rPr>
          <w:rFonts w:hint="eastAsia" w:ascii="宋体" w:hAnsi="宋体" w:eastAsia="宋体" w:cs="宋体"/>
          <w:spacing w:val="6"/>
          <w:sz w:val="24"/>
          <w:szCs w:val="24"/>
        </w:rPr>
      </w:pPr>
      <w:r>
        <w:rPr>
          <w:rFonts w:hint="eastAsia" w:ascii="宋体" w:hAnsi="宋体" w:eastAsia="宋体" w:cs="宋体"/>
          <w:color w:val="auto"/>
          <w:sz w:val="24"/>
          <w:szCs w:val="24"/>
          <w:lang w:val="en-US" w:eastAsia="zh-CN"/>
        </w:rPr>
        <w:t xml:space="preserve">考虑到本次规划实施的智能交通系统均</w:t>
      </w:r>
      <w:r>
        <w:rPr>
          <w:rFonts w:hint="eastAsia" w:ascii="宋体" w:hAnsi="宋体" w:eastAsia="宋体" w:cs="宋体"/>
          <w:color w:val="auto"/>
          <w:sz w:val="24"/>
          <w:szCs w:val="24"/>
          <w:lang w:val="en-US" w:eastAsia="zh-CN" w:bidi="ar-SA"/>
        </w:rPr>
        <w:t xml:space="preserve">处于金湖县城区各主要交叉道口及主要道路沿线，人流量车流量较多，交</w:t>
      </w:r>
      <w:r>
        <w:rPr>
          <w:rFonts w:hint="eastAsia" w:ascii="宋体" w:hAnsi="宋体" w:eastAsia="宋体" w:cs="宋体"/>
          <w:spacing w:val="6"/>
          <w:sz w:val="24"/>
          <w:szCs w:val="24"/>
        </w:rPr>
        <w:t xml:space="preserve">叉地段事故高发、频发，具体供电线路、管路均需得到属地供电部门（市政亮化管理部门）现场勘探和定位，供电线路走向、管路走向需协调并严格按供用电接电标准规范安装，地埋电缆沿途均要设置电缆标识桩起警示提醒作用。</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因此需要充分协调，做好沿线接电用电管网埋设工作，具体需要实地勘探，需要对现场勘探并严格遵循供电部门要求实施，需充分考虑各建设点位沿途管道施工开挖因素、绿化破坏及恢复、道路破坏及赔偿等因素以及配合本次项目赶工作业因素；同时需充分考虑建设点位沿途各种管道（主要燃气管道、自来水管道、污水管道、各类通信管道、电力管道等集聚。）交错，涉及开挖、顶管、架空杆件等因素、市政道路及各类绿化破坏及恢复因素、开挖破坏及恢复因素以及配合赶工作业因素。</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本次规划的智能交通建设点位需对涉及的具体点位接电供电系统进行实地勘探，遵循供 电部门对接电供电的具体要求，采取入地埋设方案，进行合理设计并预算，同时需要考虑本次建设项目涉及金湖供电管理部门（或市政亮化管理部门）协调，办理各种接电手续所涉及费用一并纳入本次总造价。</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施工单位负责系统正常运行的供电接电安装调试工作，并通过当地供电部门验收认可， 供电接电部分作为本次项目最终验收的一部分，连同整个系统移交至交警部门使用，否则由其承担所引起的一切质量问题及后果。</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交付使用后由施工单位负责运维质保期二年内的系统用电接电问题，遇到电路故障造成</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交叉道口交通信号无法正常工作时，均需按照承诺的售后服务响应时间和要求及时到场检修排查故障，确保系统第一时间恢复正常工作。</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本次项目供电接电线缆采用室外防水铠装电缆2*16以上，确保各交叉道口用电负荷。</w:t>
      </w:r>
      <w:r/>
    </w:p>
    <w:p>
      <w:pPr>
        <w:pStyle w:val="1100"/>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标志牌、标线</w:t>
      </w:r>
      <w:r/>
    </w:p>
    <w:p>
      <w:pPr>
        <w:ind w:left="13"/>
        <w:spacing w:before="183" w:line="22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与红绿灯及监控设备配套</w:t>
      </w:r>
      <w:r>
        <w:rPr>
          <w:rFonts w:hint="eastAsia" w:ascii="宋体" w:hAnsi="宋体" w:cs="宋体"/>
          <w:color w:val="auto"/>
          <w:sz w:val="24"/>
          <w:szCs w:val="24"/>
          <w:highlight w:val="none"/>
          <w:lang w:val="en-US" w:eastAsia="zh-CN" w:bidi="ar-SA"/>
        </w:rPr>
        <w:t xml:space="preserve">（详见对应需求）</w:t>
      </w:r>
      <w:r>
        <w:rPr>
          <w:rFonts w:hint="eastAsia" w:ascii="宋体" w:hAnsi="宋体" w:eastAsia="宋体" w:cs="宋体"/>
          <w:color w:val="auto"/>
          <w:sz w:val="24"/>
          <w:szCs w:val="24"/>
          <w:lang w:val="en-US" w:eastAsia="zh-CN" w:bidi="ar-SA"/>
        </w:rPr>
        <w:t xml:space="preserve">。</w:t>
      </w:r>
      <w:r/>
    </w:p>
    <w:p>
      <w:pPr>
        <w:pStyle w:val="1100"/>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其他说明</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.1、设备配置要求</w:t>
      </w:r>
      <w:r/>
    </w:p>
    <w:p>
      <w:pPr>
        <w:pStyle w:val="821"/>
        <w:spacing w:line="242" w:lineRule="auto"/>
        <w:rPr>
          <w:rFonts w:hint="eastAsia" w:ascii="宋体" w:hAnsi="宋体" w:eastAsia="宋体" w:cs="宋体"/>
          <w:sz w:val="24"/>
          <w:szCs w:val="24"/>
        </w:rPr>
      </w:pPr>
      <w:r>
        <w:rPr>
          <w:rFonts w:hint="eastAsia" w:ascii="宋体" w:hAnsi="宋体" w:eastAsia="宋体" w:cs="宋体"/>
          <w:sz w:val="24"/>
          <w:szCs w:val="24"/>
        </w:rPr>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本次项目拟选用的高清智能抓拍设备及补光装置，灯光效果及图片格式应符合公安部最新国标技术标准。</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智能抓拍设备需与金湖县交警部门现有智能交通综合管控平台、图像专网、公安部集成指挥平台无缝对接，实现与上级平台联网；高清监控球机需接至交警部门指挥中心大屏幕墙；所有数据（图片及录像）均存储至交警部门数据机房智能云存储服务器、硬盘录像机集中统一管理。</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前端抓拍单元、高清球机均设置不少于32G的存储卡，以备网络临时中断，前端路口的数据进行临时存储，确保数据不丢失。</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.2、现场实地勘探要求</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潜在投标人应自行踏勘现场，充分了解现场各个交叉道口及</w:t>
      </w:r>
      <w:r>
        <w:rPr>
          <w:rFonts w:hint="eastAsia" w:ascii="宋体" w:hAnsi="宋体" w:eastAsia="宋体" w:cs="宋体"/>
          <w:color w:val="auto"/>
          <w:sz w:val="24"/>
          <w:szCs w:val="24"/>
          <w:lang w:val="en-US" w:eastAsia="zh-CN"/>
        </w:rPr>
        <w:t xml:space="preserve">各处建设点位的施工环境、 接电路由、数据传输链路、各种地下管道管网设施、各种因中标后需协调申请及履行办理手续事项、交警部门平台运行环境、核心汇聚网络架构、系统联网对接环境、Oracleserver及管控平台升级、建立大数据云存储架构以及其他有可能承担的风险、责任和义务，投标人对招标文件和踏勘现场所做出的推论、解释和结论所造成的后果，招标人概不负责。未踏勘现场的投标人中标后，不得以不完全了解现场情况为理由而向招标人提出任何索赔的要求，对此招标人不承担任何责任并将不作任何答复，由此造成的影响及后果由投标人承担。</w:t>
      </w:r>
      <w:r/>
    </w:p>
    <w:p>
      <w:pPr>
        <w:pStyle w:val="1100"/>
        <w:spacing w:line="360" w:lineRule="auto"/>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rPr>
        <w:t xml:space="preserve">现场踏勘联系人：</w:t>
      </w:r>
      <w:r>
        <w:rPr>
          <w:rFonts w:hint="eastAsia" w:ascii="宋体" w:hAnsi="宋体" w:eastAsia="宋体" w:cs="宋体"/>
          <w:b/>
          <w:bCs/>
          <w:color w:val="ff0000"/>
          <w:sz w:val="24"/>
          <w:szCs w:val="24"/>
          <w:highlight w:val="none"/>
          <w:lang w:val="en-US" w:eastAsia="zh-CN"/>
        </w:rPr>
        <w:t xml:space="preserve">王梦雪 </w:t>
      </w:r>
      <w:r>
        <w:rPr>
          <w:rFonts w:hint="eastAsia" w:ascii="宋体" w:hAnsi="宋体" w:eastAsia="宋体" w:cs="宋体"/>
          <w:b/>
          <w:bCs/>
          <w:color w:val="ff0000"/>
          <w:sz w:val="24"/>
          <w:szCs w:val="24"/>
          <w:highlight w:val="none"/>
        </w:rPr>
        <w:t xml:space="preserve">联系方式：</w:t>
      </w:r>
      <w:r>
        <w:rPr>
          <w:rFonts w:hint="eastAsia" w:ascii="宋体" w:hAnsi="宋体" w:eastAsia="宋体" w:cs="宋体"/>
          <w:b/>
          <w:bCs/>
          <w:color w:val="ff0000"/>
          <w:sz w:val="24"/>
          <w:szCs w:val="24"/>
          <w:highlight w:val="none"/>
          <w:lang w:val="en-US" w:eastAsia="zh-CN"/>
        </w:rPr>
        <w:t xml:space="preserve">15195396808</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.3、交叉道口过路管道及附属管道施工、电缆过线接线井要求</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交叉道口的主干过路管道，严禁破坏切割开挖道路，确保交叉道路路面完整，涉及过路管道一律采用非开挖顶管，规格为¢40或¢40以上硅芯管不少于两根，具体以各项系统图纸要求为准，非开挖顶管施工作业二端均进行砖砌接线井，接线井规格不小于600*600*900，具体以构造详图为准，材质采用铸铁井盖。</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信号机柜、电警控制机柜立于一处，靠近设置，基础高于地面20CM以上；机柜旁必须设置便于维护的总接线窨井，井盖要求能承载1人站立的重量，附属管道沿途均设置电缆标识桩，以起提醒警示作用。</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.4、建设点位后续施工及安装调试要求</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本次货物采购所涉及的主要产品（设备）均需满足国家标准和规范，进场时需由建设单位、公安交警部门组织进行联合验收，不合格品严禁进入施工现场，相关设备或产品经验合格后方可进场安装，确保质量；</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建设点位的具体安装位置，可根据实地情况在建设单位、公安交警等管理部门的指导下进行适当调整，并在公安交警部门的指导下进行施工。如涉及设计范围以外的工程量（本次确需实施），可以在管理部门的指导下适当调整，最终以实际工程量为准。</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单位施工前，应提供详细的施工方案，并提交招标人认可；应对具体建设点位周边及地下各类管道管线管网、线缆、障碍物进一步核查，确认无误后方可施工，确保土建等基础施工及线缆敷设不损害其他管道及线缆。</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期间，可以根据各建设点位现场实际情况适当调整手井位置和顶管及辅路管道的走向，但是必须满足相关国家标准和规范，并且不得损害到其他管道及线缆。如果道路情况复杂，不具备顶管条件，在征得管理部门同意的情况下，可以采取破路方式敷设管道或架空敷设方案。所有电缆应整理整齐，不得有多余线缆接头裸露在外。</w:t>
      </w:r>
      <w:r/>
    </w:p>
    <w:p>
      <w:pPr>
        <w:pStyle w:val="110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施工完成后，管理部门必须对实施后的交通设施（如：紧固件和连接件等）定期进行日常维护和检查，保证设施的安全性和有效性，组织人员定期定时巡查。</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.5、建设工期要求</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完工期：合同签订生效后的90日历天</w:t>
      </w:r>
      <w:r>
        <w:rPr>
          <w:rFonts w:hint="eastAsia" w:ascii="宋体" w:hAnsi="宋体" w:eastAsia="宋体" w:cs="宋体"/>
          <w:b/>
          <w:bCs/>
          <w:color w:val="auto"/>
          <w:sz w:val="24"/>
          <w:highlight w:val="none"/>
          <w:lang w:val="en-US" w:eastAsia="zh-CN"/>
        </w:rPr>
        <w:t xml:space="preserve">（具体以招标人通知时间为准）</w:t>
      </w:r>
      <w:r>
        <w:rPr>
          <w:rFonts w:hint="eastAsia" w:ascii="宋体" w:hAnsi="宋体" w:eastAsia="宋体" w:cs="宋体"/>
          <w:color w:val="auto"/>
          <w:sz w:val="24"/>
          <w:szCs w:val="24"/>
          <w:lang w:eastAsia="zh-CN"/>
        </w:rPr>
        <w:t xml:space="preserve">。</w:t>
      </w:r>
      <w:r/>
    </w:p>
    <w:p>
      <w:pPr>
        <w:pStyle w:val="1100"/>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lang w:eastAsia="zh-CN"/>
        </w:rPr>
        <w:t xml:space="preserve">中标人应确保其技术以及所提供的软、硬件设备或配件的完整性、实用性，保证全部系统及时交付投入正常运行。若出现因投标人提供的软、硬件设备不满足要求、不合理，或者其所提供的技术支持和服务不全面，而导致系统无法实现或不能完全实现的状况或无法接入，中标人负全部责任。</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.6、质保期及运维要求</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本次项目涉及建设点位众多，涉及内容较多，分类如下：</w:t>
      </w:r>
      <w:r/>
    </w:p>
    <w:p>
      <w:pPr>
        <w:pStyle w:val="1100"/>
        <w:numPr>
          <w:ilvl w:val="0"/>
          <w:numId w:val="16"/>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热熔标线：原则上对本次所有划线工程量均不低于2年的免费质保期，两年内（非意外事件如下雪天气因铲雪车铲雪工作致使标线被铲坏等）发生大面积的脱落损坏或褪色暗淡等由施工单位负责免费重新修补施划；</w:t>
      </w:r>
      <w:r/>
    </w:p>
    <w:p>
      <w:pPr>
        <w:pStyle w:val="1100"/>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（2）标志牌：标牌反光膜质保期不少于2年，2年内如涉及标牌反光膜褪色不反光等一律由施工单位免费更换更新处理；</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）信号设备：免费质保不低于2年；</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）各类抓拍设备、补光设备：免费质保不低于2年；</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）机房服务器：执行厂家质保，免费质保不低于2年；</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）企业级服务器硬盘、监控级硬盘 ：免费质保期不低于2年，两年内发生故障免费更换。</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所有建设点位故障现象维修更换设备或配件质保期：二年。保修期内，中标供货商负责产品厂家对其提供的设备、软件进行现场维修，不收取额外费用；保证在质保期内，如不能提供同规格型号的配件，应提供免费平滑升级，不再另外收取差价。</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设备在质保期内发生软、硬件故障，中标供货商应及时予以响应，免费上门服务。否则招标人将自行采取必要的措施，由此产生风险和费用应由其承担。</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保修期内出现设备故障，如在开始维修后2小时内不能解决问题，应免费在24小时内用同样的品牌、规格或更高的部件更换维修到位。</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投标人必须承诺7*24小时全天候响应，24小时内提供相应的备件。如设备为人为损坏由采购单位负责，自然损坏由中标供应商负责。</w:t>
      </w:r>
      <w:r>
        <w:rPr>
          <w:rFonts w:hint="eastAsia" w:ascii="宋体" w:hAnsi="宋体" w:eastAsia="宋体" w:cs="宋体"/>
          <w:b/>
          <w:bCs/>
          <w:color w:val="auto"/>
          <w:sz w:val="24"/>
          <w:szCs w:val="24"/>
          <w:highlight w:val="none"/>
          <w:lang w:eastAsia="zh-CN"/>
        </w:rPr>
        <w:t xml:space="preserve">（提供承诺书加盖公章）</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.7、验收及培训要求</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验收</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及验收：招标人根据国家有关规定、招标文件、中标方的投标文件以及合同约定的内容和验收标准进行验收。验收情况作为支付货款的依据。设备到货后，用户单位与中标单位共同配合对所有设备进行开箱检查，出现损坏、数量不全或产品不对等问题时，由中标单位负责解决。</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根据标书要求对本次采购设备的型号、规格、数量、</w:t>
      </w:r>
      <w:r>
        <w:rPr>
          <w:rFonts w:hint="eastAsia" w:ascii="宋体" w:hAnsi="宋体" w:eastAsia="宋体" w:cs="宋体"/>
          <w:color w:val="auto"/>
          <w:sz w:val="24"/>
          <w:szCs w:val="24"/>
          <w:highlight w:val="none"/>
          <w:lang w:eastAsia="zh-CN"/>
        </w:rPr>
        <w:t xml:space="preserve">外形</w:t>
      </w:r>
      <w:r>
        <w:rPr>
          <w:rFonts w:hint="eastAsia" w:ascii="宋体" w:hAnsi="宋体" w:eastAsia="宋体" w:cs="宋体"/>
          <w:color w:val="auto"/>
          <w:sz w:val="24"/>
          <w:szCs w:val="24"/>
          <w:lang w:eastAsia="zh-CN"/>
        </w:rPr>
        <w:t xml:space="preserve">、外观、包装及资料、文件（如装箱单、保修单、随箱介质等）进行验收。</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设备安装完成，由中标单位制定测试方案并经用户确认后，对产品的性能和配置进行测试验收，并形成测试验收报告。</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技术</w:t>
      </w:r>
      <w:r>
        <w:rPr>
          <w:rFonts w:hint="eastAsia" w:ascii="宋体" w:hAnsi="宋体" w:cs="宋体"/>
          <w:b/>
          <w:color w:val="000000"/>
          <w:sz w:val="24"/>
          <w:szCs w:val="24"/>
          <w:highlight w:val="none"/>
          <w:lang w:val="en-US" w:eastAsia="zh-CN" w:bidi="ar-SA"/>
        </w:rPr>
        <w:t xml:space="preserve">文档</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中标人必须在对其所提供的设备进行安装、测试、验收过程中提供和准备的技术文档。</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技术文件：中标人必须向项目单位提供设备的安装、运行、使用、测试、诊断和维修的技术文件。</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安装计划：安装日期是中标人执行合同的开始，最少包含运输、交货、测试、调试、正常运行等各阶段时间计划。</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安装指南：投标人应当提供所购软硬件设备的安装指南。</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培训与服务</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为用户提供全面的技术支持，帮助用户及时解决系统运行中遇到的技术问题。</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配合用户根据用户运行环境和要求调整操作系统、数据库等性能参数及其他系统参数。</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在系统开通后，在发生系统故障的情况下，中标供货商需无偿到现场配合子系统承包商分析问题。</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投标人需服从采购方及公安交警部门的工作安排与进度安排。</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定期上门检查整套系统的运行情况，并能根据用户系统变化情况及时调整优化。</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提前联系采购方及公安交警部门落实培训人员及数量，组织项目建设所实施的多场次培训服务，包括组织人员接受生产制造厂家培训、施工现场技术培训、常规故障培训、机房系统运行操作培训等；</w:t>
      </w:r>
      <w:r/>
    </w:p>
    <w:p>
      <w:pPr>
        <w:pStyle w:val="1100"/>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货物清单</w:t>
      </w:r>
      <w:r/>
    </w:p>
    <w:tbl>
      <w:tblPr>
        <w:tblStyle w:val="817"/>
        <w:tblW w:w="10552"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538"/>
        <w:gridCol w:w="4030"/>
        <w:gridCol w:w="950"/>
        <w:gridCol w:w="830"/>
        <w:gridCol w:w="1325"/>
      </w:tblGrid>
      <w:tr>
        <w:trPr>
          <w:trHeight w:val="697"/>
        </w:trPr>
        <w:tc>
          <w:tcPr>
            <w:tcW w:w="87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2538"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403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主要规格参数</w:t>
            </w:r>
            <w:r/>
          </w:p>
        </w:tc>
        <w:tc>
          <w:tcPr>
            <w:tcW w:w="95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W w:w="83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 </w:t>
            </w:r>
            <w:r/>
          </w:p>
        </w:tc>
        <w:tc>
          <w:tcPr>
            <w:tcW w:w="132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gridSpan w:val="5"/>
            <w:tcW w:w="9673"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工程数量汇总表</w:t>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重复显示器</w:t>
            </w:r>
            <w:r/>
          </w:p>
        </w:tc>
        <w:tc>
          <w:tcPr>
            <w:tcW w:w="40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可变倒计时显示屏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000000"/>
                <w:sz w:val="24"/>
                <w:szCs w:val="24"/>
                <w:highlight w:val="none"/>
                <w:u w:val="none"/>
                <w:lang w:val="en-US" w:eastAsia="zh-CN" w:bidi="ar"/>
              </w:rPr>
              <w:t xml:space="preserve">LED 显示屏)具体做法详见图纸设计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p>
        </w:tc>
        <w:tc>
          <w:tcPr>
            <w:tcW w:w="40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网络服务器</w:t>
            </w:r>
            <w:r/>
          </w:p>
        </w:tc>
        <w:tc>
          <w:tcPr>
            <w:tcW w:w="40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数据智能云存储服务器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403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靠右行驶标志D600</w:t>
            </w:r>
            <w:r/>
          </w:p>
          <w:p>
            <w:pPr>
              <w:jc w:val="both"/>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4030" w:type="dxa"/>
            <w:vAlign w:val="center"/>
            <w:textDirection w:val="lrTb"/>
            <w:noWrap w:val="false"/>
          </w:tcPr>
          <w:p>
            <w:pPr>
              <w:jc w:val="both"/>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机非分隔标志2*D600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325" w:type="dxa"/>
            <w:vAlign w:val="center"/>
            <w:textDirection w:val="lrTb"/>
            <w:noWrap w:val="false"/>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w:t>
            </w:r>
            <w:r/>
          </w:p>
        </w:tc>
        <w:tc>
          <w:tcPr>
            <w:tcW w:w="2538"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接地装置</w:t>
            </w:r>
            <w:r/>
          </w:p>
        </w:tc>
        <w:tc>
          <w:tcPr>
            <w:tcW w:w="403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接地极 镀锌角钢L50x50x5，L=2500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镀锌扁钢40x4</w:t>
            </w:r>
            <w:r/>
          </w:p>
          <w:p>
            <w:pPr>
              <w:jc w:val="both"/>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接地引线镀锌扁钢50x5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接线端子200x50x5铜条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新增礼让行人标线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其他路口路段标线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11272</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机非隔离栏杆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5483</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中央隔离栏杆(一般段)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中央隔离栏杆(降低段)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防撞筒（墩）</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钢防撞护栏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型钢、C30砼70.2立方米、模板、钢筋16钢筋12 、6628.4+4985.8+1328.8千克等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468</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警示柱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道口标柱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轮廓标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w:t>
            </w:r>
            <w:r/>
          </w:p>
        </w:tc>
        <w:tc>
          <w:tcPr>
            <w:tcW w:w="4030"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830" w:type="dxa"/>
            <w:vAlign w:val="center"/>
            <w:textDirection w:val="lrTb"/>
            <w:noWrap w:val="false"/>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1325"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二</w:t>
            </w:r>
            <w:r/>
          </w:p>
        </w:tc>
        <w:tc>
          <w:tcPr>
            <w:gridSpan w:val="5"/>
            <w:tcW w:w="9673"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新建信号灯与监控系统工程数量表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6m机动车信号灯基础（开挖、回填、碎石、C30砼、钢筋、模板、杆件、基础笼等），杆件利用原有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左转灯组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满屏灯组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600*800 型通讯式信号倒计时器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设备控制机箱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信号灯控制电缆及敷设(m)</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RVV-12×1.0mm2,按实计量</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信号灯灯头电缆及敷设(m)</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RVV-4×1.0mm2,按实计量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含1根φ75PE管,按实计量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顶管施工(含过路4根φ75PE管)(m)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回填参照管沟深度地面道路管道埋设图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根据现场自行勘察，自行考虑；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水泥路面恢复</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水泥路面内埋设管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35cmC25水泥混凝土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高清智能监控球机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900万电警抓拍单元</w:t>
            </w:r>
            <w:r>
              <w:rPr>
                <w:rFonts w:hint="eastAsia" w:ascii="宋体" w:hAnsi="宋体" w:eastAsia="宋体" w:cs="宋体"/>
                <w:b/>
                <w:bCs/>
                <w:i w:val="0"/>
                <w:iCs w:val="0"/>
                <w:color w:val="000000"/>
                <w:sz w:val="24"/>
                <w:szCs w:val="24"/>
                <w:u w:val="none"/>
                <w:lang w:val="en-US" w:eastAsia="zh-CN" w:bidi="ar"/>
              </w:rPr>
              <w:t xml:space="preserve">(核心产品)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900万高清生态环保卡口抓拍单元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LED频闪补光灯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多合一补光灯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工业级8口千兆交换机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收发器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工业级千兆光纤收发器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≥64G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RVV-3×1.0mm2,按实计量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 5*1.0mm2,按实计量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8芯室外光缆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8芯单模铠装室外光缆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所租用专线带宽须满足道口传输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需要及视频流访问需要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网络服务器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应用管理服务器(台)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“前方监控、交通违法”标志牌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“交通违法监控”标志牌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标志牌迁移按标志支架规格固定，其他工程接线端子排、漏电保护器无规定材质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标线施画、补施(m2)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小计（2）</w:t>
            </w:r>
            <w:r/>
          </w:p>
        </w:tc>
        <w:tc>
          <w:tcPr>
            <w:tcW w:w="40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325"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单点自适应系统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广域雷达微波检测器、安装配件包</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采用广域雷达跟踪和高清视频融合技术,一体化设计,可跟踪256个目标,检测目标的即时位置、即时速度、目标分类、实时排队长度、实时区域状态、多断面的交通流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、异常事件等高精度检测及视频可视化;视频像素500万,检测范围:8车道、350米远;同时支持正向或者侧向安装。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不锈钢支架,抱箍及稳压电源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各类设备的基础固定安装、通电通网、基本调试,以及相关安全保障,包括人工、材料、机具等综合费用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实现最多四台微波检测器和信号机的连接,支持一路RJ45网络输入,一路RS485输出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外形尺寸640mm±50mm*960mm±50mm,防水、防尘处理。三色屏,支持、通讯式、脉冲式倒计时功能。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小计（3）</w:t>
            </w:r>
            <w:r/>
          </w:p>
        </w:tc>
        <w:tc>
          <w:tcPr>
            <w:tcW w:w="4030" w:type="dxa"/>
            <w:vAlign w:val="center"/>
            <w:textDirection w:val="lrTb"/>
            <w:noWrap w:val="false"/>
          </w:tcPr>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北兴路金荷路路口和园林路长乐路路口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900万高清抓拍单元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北兴路金荷路路口东西向2处计2台(电警);2、园林路长乐路路口东西方向2处计2台(电警);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LED暖光灯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北兴路金荷路路口东西向2个车道计2台;2、园林路长乐路路口东西方向4个车道计4台;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立柱式一体化行人过街系统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3.5米一体式,灯具排布为静止红色、动态绿、倒计时三联、带触摸式按钮定制及基础（开挖、回填、C30砼、模板、杆件、灯具、按钮、基础笼等）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一体化机动车信号灯系统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5.2米一体式,灯具排布为红圆盘、黄圆盘、绿圆盘、倒计时四联;及基础（开挖、回填、C30砼、模板、杆件、灯具、按钮、基础笼等）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H6.5ML9M-1套;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H6.5ML6M-1套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highlight w:val="none"/>
                <w:u w:val="none"/>
                <w:lang w:val="en-US" w:eastAsia="zh-CN" w:bidi="ar"/>
              </w:rPr>
              <w:t xml:space="preserve">500*400*180*1.0MM</w:t>
            </w:r>
            <w:r>
              <w:rPr>
                <w:rFonts w:hint="eastAsia" w:ascii="宋体" w:hAnsi="宋体" w:eastAsia="宋体" w:cs="宋体"/>
                <w:i w:val="0"/>
                <w:iCs w:val="0"/>
                <w:color w:val="000000"/>
                <w:sz w:val="24"/>
                <w:szCs w:val="24"/>
                <w:u w:val="none"/>
                <w:lang w:val="en-US" w:eastAsia="zh-CN" w:bidi="ar"/>
              </w:rPr>
              <w:t xml:space="preserve">;内含漏电保护器一只、多孔位插排一只;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5口千兆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系统供接电施工(含系统用电所必需的用电开户手续、控制开关、插座等)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系统供接电施工(含系统用电所必需的用电开户手续、线路、管路、控制开关、插座等)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顶管施工(涉及信号及电警的过路顶管作业)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附属管道开挖及回填(电警及信号部分)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接线窨井及重型复合井盖</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信号线缆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RVV8*1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控制电缆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补光灯控制线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RVV5*1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向第三方运营商租用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含2年专线租用费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不锈钢或镀锌冷压板加工制作、规格不低于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1200*600*350,厚度不低于1.0,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窨井(机柜处设置)</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数字式带防雷100A2P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电力电缆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供接电线缆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规格不低于YJV2*6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硅芯管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不低于HDPE40*3.0一根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开挖沟槽</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根据现场自行勘察，自行考虑；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6cm人行道砖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3cm砂浆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C20无砂大孔砼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级配碎石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5cm 细粒式沥青砼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30cmC25水泥混凝土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斑马线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0.4*5*55道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东西向各12道、南向8道、北向23道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东、西、北向各6M、南3M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道路中间黄实线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停车线后30M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边道实线(白)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车道导向箭头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每方向进出各2个,共4个,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东西方向非机动车道缺失增补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532"/>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小计（4)</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五</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小计（5)</w:t>
            </w:r>
            <w:r/>
          </w:p>
        </w:tc>
        <w:tc>
          <w:tcPr>
            <w:tcW w:w="40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六</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lang w:val="en-US" w:eastAsia="zh-CN"/>
              </w:rPr>
              <w:t xml:space="preserve"> 信号灯故障智能检测系统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智能运维基础模块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1.支持资产管理,包括平台同步设备/通道、智能设备、IT基础设备、软件应用;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2.支持设备在线状态、视频点播、视频质量诊断、录像完整性、卡口抓拍量检测等功能,并支持对以上异常故障的报警及可视化报表统计;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智能运维NMS的通道授权模块;每份包含100路通道授权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center"/>
            <w:textDirection w:val="lrTb"/>
            <w:noWrap w:val="false"/>
          </w:tcPr>
          <w:p>
            <w:pPr>
              <w:jc w:val="both"/>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交警设备设施故障检测模块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检测区域和检测算法配置支持对视频通道进行信号灯、LED屏等检测对象检测区配置,支持基于实时通道图片画面进行检测区绘制圈选出检测目标,同时可配置对应检测类型和算法类型,以及对算法分析时长进行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运维硬件服务器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CPU:不低于8物理核心/16线程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内存:配置不低于2根16GB DDR4内存,容量最高支持至256GB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网卡:板载集成千兆双口+双口千兆网卡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通过riser卡可提供2种PCIe选择:最大可支持2个×8 PCIe 插槽,可支持1块全高半长加1块半高半长PCIe卡最大可支持1个×16 PCIe 插槽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SAS3008卡,支持RAID0/1/10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硬盘:2T LFF SATA × 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交通事件检测智能服务器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硬盘:1块2.5寸128GB SSD,2块3.5寸4TB硬盘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内存:4根8GB DDR4内存条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智能卡数量:2块智能分析卡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主处理器:CPU不低于4核8线程,3.6GHz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支持运行红绿灯检测运维算法分析;单台支持不低于32路400万视频分析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数据库扩容</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支持5亿条数据量存储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日增数据写入500万条/天(单条数据平均2K)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数据接入:针对实时流数据提供安全,可靠,可弹性扩展的数据接入能力,支持从kafka、RabbitMQ等主流中间件数据源以消息流方式接入实时结构化数据,包括:过车数据,人脸数据,Mac数据,RFID数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据,档案类数据等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数据生命周期管理:支持用户自定义配置数据存储生命周期,自动删除超过生命周期的数据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高级查询接口:1、提供统一API查询接口功能:对上层业务实现了API统一封装,便于上层业务查询对接2、提供通用SQL查询接口功能:支持通过自定义SQL语句方式查询业务数据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运维管理:1、支持对数据库系统运维:支持服务启停、支持修改IP以及密码、支持数据库巡检2、支持对数据库监控功能:支持监控系统整体运行情况3、提供数据管家功能:支持创建业务表,支持管理数据接入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任务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流媒体节点软件</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转发参数:支持单节点256路转发(4M码流、四网口绑定)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存储参数:或支持单节点256路存储(4M码流、四网口绑定);或 支持单节点400路车辆卡口存储(四网口绑定)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接入参数:支持5000私有协议接入,或2500国标接入,或5000主动注册,或2500 Onvif接入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流媒体节点服务器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处理器:2颗Intel Xeon 4210(R)×2.2G 9.6UPI 13.75M 10C 85W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内存:配置4条16GB DDR4 2933 REG内存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固态硬盘(SSD):配置2块480G 2.5寸-SATA固态硬盘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机械硬盘(HDD):配置2块2T 3.5</w:t>
            </w:r>
            <w:r>
              <w:rPr>
                <w:rFonts w:hint="eastAsia" w:ascii="宋体" w:hAnsi="宋体" w:cs="宋体"/>
                <w:i w:val="0"/>
                <w:iCs w:val="0"/>
                <w:color w:val="000000"/>
                <w:sz w:val="24"/>
                <w:szCs w:val="24"/>
                <w:u w:val="none"/>
                <w:lang w:val="en-US" w:eastAsia="zh-CN" w:bidi="ar"/>
              </w:rPr>
              <w:t xml:space="preserve">寸</w:t>
            </w:r>
            <w:r>
              <w:rPr>
                <w:rFonts w:hint="eastAsia" w:ascii="宋体" w:hAnsi="宋体" w:eastAsia="宋体" w:cs="宋体"/>
                <w:i w:val="0"/>
                <w:iCs w:val="0"/>
                <w:color w:val="000000"/>
                <w:sz w:val="24"/>
                <w:szCs w:val="24"/>
                <w:u w:val="none"/>
                <w:lang w:val="en-US" w:eastAsia="zh-CN" w:bidi="ar"/>
              </w:rPr>
              <w:t xml:space="preserve"> 7.2K 6GbSATA热插拔硬盘;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RAID控制器:LSI SAS3008 SAS卡(IR)</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网卡:双口千兆 RJ45网卡+四口千兆 RJ45网卡+板载双口千兆RJ45网卡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电源:双电源/550 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小计（6)</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七</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金湖县文明城市智慧交通管理平台系统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新增非机动车逆行违法行为抓拍模块</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对接城区重点逆行的抓拍相机，获取抓拍非机动车违法图片，并实现违法人员的自动人脸识别，人工审核，自动短信+电话提醒，查询处罚等功能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新增走机动车道违法行为抓拍模块</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对接城区机动车处的抓拍相机，获取抓拍非机动车违法图片，并实现违法人员的自动人脸识别，人工审核，自动短信+电话提醒，查询处罚等功能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小计（7)</w:t>
            </w:r>
            <w:r/>
          </w:p>
        </w:tc>
        <w:tc>
          <w:tcPr>
            <w:tcW w:w="40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八</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电子哨兵系统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哨兵相机（含柱状支架、臂装支架转接件）</w:t>
            </w:r>
            <w:r/>
          </w:p>
        </w:tc>
        <w:tc>
          <w:tcPr>
            <w:tcW w:w="4030" w:type="dxa"/>
            <w:vAlign w:val="center"/>
            <w:textDirection w:val="lrTb"/>
            <w:noWrap w:val="false"/>
          </w:tcPr>
          <w:p>
            <w:pPr>
              <w:numPr>
                <w:ilvl w:val="0"/>
                <w:numId w:val="17"/>
              </w:num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采用一体机，内置优于或等于12mm 定焦镜头，雷达发射频率优于或等于80GHz；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2）传感器尺寸≥1/1.8 英寸，视频分辨率≥4M（2688×1520）；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3）可设置显示自定义文字信息、字体大小、字体颜色等，可设置不低于两个输出显示屏IP 地址；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5）支持雷达数据和视频数据融合，在雷达可视化界面上显示跟踪目标速度、ID、距离；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6）支持捕获通过监测点的车辆图像；支持识别通过监测点的车辆的车牌信息；</w:t>
            </w:r>
            <w:r/>
          </w:p>
          <w:p>
            <w:pPr>
              <w:numPr>
                <w:ilvl w:val="0"/>
                <w:numId w:val="0"/>
              </w:num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8）支持超速、道路安全预警事件进行抓拍、短录像并进行报警；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9）设备安装高度在3m~6m时，雷达检测正向运动目标的盲区不大于5m（距安装点位的距离）；</w:t>
            </w:r>
            <w:r/>
          </w:p>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10）▲支持屏幕内容在Web端实时显示；</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11）具有不低于1个RS232，2个RS485；1路DC12V电源输入接口，1路报警输出接口，1路DC48V/AC24V交直流自适应电源输入接口。</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柱状支架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臂装支架转接件</w:t>
            </w:r>
            <w:r/>
          </w:p>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交通信息发布屏</w:t>
            </w:r>
            <w:r/>
          </w:p>
        </w:tc>
        <w:tc>
          <w:tcPr>
            <w:tcW w:w="4030" w:type="dxa"/>
            <w:vAlign w:val="center"/>
            <w:textDirection w:val="lrTb"/>
            <w:noWrap w:val="false"/>
          </w:tcPr>
          <w:p>
            <w:pPr>
              <w:jc w:val="both"/>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1）物理间距：P10；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2）像素组成：红绿双基色（支持红，绿，黄三种颜色显示）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3）显示尺寸：1280mm×640mm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4）亮度：≥6000cd/m2；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5）显示内容：支持发布中文、英文、数字、简单图片；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6）显示方式：支持静止显示、翻页显示、滚动显示；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7）字体：支持16/24/32号字体；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8）语音：支持万能语音播报；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9）防护等级：IP54；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1)灯珠数量:≥16颗LED 光源;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2)照射距离不小于20米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3)光斑覆盖范围:不低于3车道;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4)中心光照度:LED:&lt;40lx(20m光照度);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5)亮度调节:1~20级亮度可调;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6)支持外置光栅防眩目处理;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7)供电方式:AC100–240V;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1)内置8个10M/100M自适应以太网口，视频接入模式码流支持180Mbps，卡口合成模式码流支持100Mbps；标配≥4T硬盘</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2)支持预览界面视频流通道展示相机IP与实时码流大小</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3)支持将 1/2/3/4 张原始图片进行合成，支持多种合成形状选择，图片顺序可任意修改；支持去除原始图片黑边;</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4)支持硬盘图片和录像配额比例设置，支持盘满循环覆盖</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5)历史存储数据防删改功能：录像、图片文件无法直接删除，只能通过循环覆盖和硬盘格式化操作</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6)支持客户端与前端摄像机分别连接该设备的不同网段时，通过端口映射客户端可以跨网段访问前端摄像机并操作配置</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7)视频接入模式支持不低于12路网络压缩高清视频输入，卡口合成模式支持不低于4路网络压缩高清视频输入</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8)支持双网卡路由设置，支持展示已添加的路由</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9)支持对于记录在存储介质上的视(音)频信息，取出的存储介质应能在相同型号的其他设备上正常回放，以保证设备发生故障后记录资料的留存(或复制)</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10)支持自动注册设置选项，可设置平台地址、端口、子设备ID；</w:t>
            </w:r>
            <w:r/>
          </w:p>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11)▲支持同时对接4个屏幕，支持按通道设置对应的屏号，支持按行驶方向将不同方向的车辆信息发布到不同屏幕上；</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none"/>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2m横臂,含杆件和基础（开挖、回填、碎石、C30砼、钢筋、模板、杆件、基础笼等）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含过路2根φ75PE管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RVV-12*1.5,按实计量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8.10</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 4*1.5,按实计量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RVV-3×1.5,按实计量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信号线缆（信号机通讯用）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超5类网络线(5M成品网线)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中标方承担二年电费,公安交警部门不提供开户手续资料同时质保期后不承担电费。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8.15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接电控制柜</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接电控制柜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600mm×450mm×1200mm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箱体采用不锈钢,板厚不小于1.2mm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电缆标示桩</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10CM*10CM*70CM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电缆保护标志桩为定制标准件,材质采用PVC或玻璃钢材质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自动复位1A*63A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NXBLE-63A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8.20</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供电接电线路过路顶管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过厂区大门1根75PE管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挖槽</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开挖、回填80CM*40CM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长度为预估,距离以现场实际为准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插座</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三眼*10组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防雷20-80KA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小计（</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九</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  无人机方舱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无人机小型机场</w:t>
            </w:r>
            <w:r/>
          </w:p>
        </w:tc>
        <w:tc>
          <w:tcPr>
            <w:tcW w:w="4030"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包含两年机库及飞机设备的原厂保障服务。包含所投设备(所有零部件，易损件，电池等消耗品)的机损、维修服务。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787"/>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无人机三责险</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第三者责任险多(100万/年)，共计两年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备用电池</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电池需适配所投无人机</w:t>
            </w:r>
            <w:r>
              <w:rPr>
                <w:rFonts w:hint="eastAsia" w:ascii="宋体" w:hAnsi="宋体" w:eastAsia="宋体" w:cs="宋体"/>
                <w:i w:val="0"/>
                <w:iCs w:val="0"/>
                <w:color w:val="000000"/>
                <w:sz w:val="24"/>
                <w:szCs w:val="24"/>
                <w:u w:val="none"/>
                <w:lang w:val="en-US" w:eastAsia="zh-CN" w:bidi="ar"/>
              </w:rPr>
              <w:br/>
            </w:r>
            <w:bookmarkStart w:id="29" w:name="_GoBack"/>
            <w:r>
              <w:rPr>
                <w:rFonts w:hint="eastAsia" w:ascii="宋体" w:hAnsi="宋体" w:eastAsia="宋体" w:cs="宋体"/>
                <w:i w:val="0"/>
                <w:iCs w:val="0"/>
                <w:color w:val="000000"/>
                <w:sz w:val="24"/>
                <w:szCs w:val="24"/>
                <w:u w:val="none"/>
                <w:lang w:val="en-US" w:eastAsia="zh-CN" w:bidi="ar"/>
              </w:rPr>
              <w:t xml:space="preserve">充电循环次数</w:t>
            </w:r>
            <w:bookmarkEnd w:id="29"/>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200次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探照灯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含支架安装尺寸:≤100x170x30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重量:≤100g上最大功耗:大于等于30W安装方式:快拆手拧螺丝，可同时安装喊话器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喊话器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含支架安装尺寸:≤75x70x55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重量:≤100g；一米处声压缓:大于等于100dB；广播距离大于等于200米；最大功耗大于等于15W；安装方式:快拆手拧螺丝，可同时安装探照灯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增强图传模块</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增强图传模块可将设备接入4G 网络，实现增强图传等多项功能。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行业版遥控器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天线:&gt;4天线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工作频段:支持 2.4G、5.8G 图传显示器分辨率:地面站显示器应采用触摸屏，屏幕显示分辨率多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1920+1080p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显示器亮度:显示器亮度多1400尼特遥控器 4G 增强图传:支持4G增强图传模块，提升图传稳定性遥控器重量:不带外置电池重量≤1.2kg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接口:支持的接口包括HDMI 1.4，SD3.0，Type-C支持 0TG，支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持PD充电，USB-A遥控器支持外置电池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最大信号有效距离(无干扰、无遮挡):&gt;20公里(FCC)10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公里(CE/SRRC/MIC)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无人机信号中继固定站</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中继站系统精度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基站定位误差：</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单点精度（未标定）：</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水平：1.5 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垂直：3.0 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星基差分精度：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收敛时间：20 分钟</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水平：30 厘米（RMS）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垂直：40 厘米（RMS）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 RTK 标定：</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水平：1.0 厘米（RMS）+ 1 ppm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垂直：3.0 厘米（RMS）+ 1 ppm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中继站图传工作频率：2.4 GHz/5.2 GHz/5.8 GHz</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功率≥10瓦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内置电池工作时间≥3小时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工作环境温度：优于-20℃ 至 50°C</w:t>
            </w:r>
            <w:r/>
          </w:p>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9.10</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包含两年机库及飞机的运维保养服务，现场保养不低于一个季度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一次。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2538"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小计（</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p>
        </w:tc>
        <w:tc>
          <w:tcPr>
            <w:tcW w:w="403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十</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none"/>
              </w:rPr>
              <w:t xml:space="preserve"> 行人和非机动车电子劝导员及非机动车闯红灯系统工程数量表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1200万行人闯红灯抓拍单元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u w:val="none"/>
                <w:lang w:val="en-US" w:eastAsia="zh-CN" w:bidi="ar"/>
              </w:rPr>
              <w:t xml:space="preserve">万相机抓拍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LED频闪灯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音柱</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户外音柱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894"/>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配套杆件及基础（开挖、回填、C30砼、模板、杆件、基础笼等）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每套基础尺寸0.8*0.8*1m,共8套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立柱高4m,壁厚4mm,外径120mm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供电接电保护装置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顶管施工2根φ75PE管,壁厚5mm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1240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交通智能系统调试</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调试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2538" w:type="dxa"/>
            <w:vAlign w:val="center"/>
            <w:textDirection w:val="lrTb"/>
            <w:noWrap w:val="false"/>
          </w:tcPr>
          <w:p>
            <w:pPr>
              <w:jc w:val="left"/>
              <w:keepLines w:val="0"/>
              <w:keepNext w:val="0"/>
              <w:widowControl/>
              <w:tabs>
                <w:tab w:val="left" w:pos="449" w:leader="none"/>
              </w:tabs>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小计（10）</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十一</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声光电定向声波系统工程数量表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爆闪灯+定向声波(2组)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重复显示器</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LED显示屏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爆闪灯+定向声波(4组)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室外六类屏蔽双绞线,据实际量,含水晶头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国标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 </w:t>
            </w:r>
            <w:r/>
          </w:p>
        </w:tc>
        <w:tc>
          <w:tcPr>
            <w:tcW w:w="2538"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小计（11）</w:t>
            </w:r>
            <w:r/>
          </w:p>
        </w:tc>
        <w:tc>
          <w:tcPr>
            <w:tcW w:w="403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十二</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 行人过街预警系统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12.1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无线太阳能道钉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一、功能要求: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支持与行人过街检测单元进行联动,检测到斑马线有行人或非机动车,无线太阳能道钉由黄色频闪改为红色频闪。</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二、参数要求: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1)产品应采用太阳能方式,采用高效单晶硅低照度太阳电池;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2)根据行人过街检测单元路口情况,实时控制道钉变换不同的颜色,警示来往车辆;</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3)标准光强下,充电一天可工作≥48小时,电池充满电后可连续工作≥100小时;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4)发光颜色:支持黄、白、红灯3种颜色;;</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5)LED数量不少于3颗,单颗LED额定电流法相发光强度大于8000mcd;</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6)抗压荷载≥500KN(静态);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7)安装后突出路面高度:不大于10mm;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8)发光器件亮度1~8级可调节;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9)道钉出光轴与地平夹角不大于6度;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10)夜间可视距离不低于200m;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11)工作温度范围:-20℃至75℃;</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12)外廓尺寸:直径≤150mm;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13)防水等级:IP68;</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14)道钉支持可拆卸维护;</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15)控制方式:支持基于本地光照亮度自动开启;支持无线受控模式。</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16)使用寿命:不低于5年</w:t>
            </w:r>
            <w:r/>
          </w:p>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小计（12）</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十三</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金湖县水利局路口隐患工程数量表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减速让行标志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减速让行标志▽700及基础（开挖、回填、C30砼、模板、杆件、标志板、灯具、按钮、基础笼等）单柱式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前方路口提示标志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前方路口提示标志及基础（开挖、回填、C30砼、模板、杆件、标志板、灯具、按钮、基础笼等）单柱式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震动标线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减速让行标线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小计（13）</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工程税金</w:t>
            </w:r>
            <w:r/>
          </w:p>
        </w:tc>
        <w:tc>
          <w:tcPr>
            <w:tcW w:w="40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项目总计</w:t>
            </w:r>
            <w:r/>
          </w:p>
        </w:tc>
        <w:tc>
          <w:tcPr>
            <w:tcW w:w="40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bl>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备注：（1）上述清单中涉及“杆件及基础 ”相关内容，均包括完成该杆件竖立起来所必须完成的工序各环节，包括基坑开挖、钢筋笼加工制作、C30浇筑、各类连接螺栓螺帽、</w:t>
      </w:r>
      <w:r>
        <w:rPr>
          <w:rFonts w:hint="eastAsia" w:ascii="宋体" w:hAnsi="宋体" w:eastAsia="宋体" w:cs="宋体"/>
          <w:color w:val="auto"/>
          <w:sz w:val="24"/>
          <w:szCs w:val="24"/>
          <w:highlight w:val="none"/>
          <w:lang w:eastAsia="zh-CN"/>
        </w:rPr>
        <w:t xml:space="preserve">基坑、钢筋笼</w:t>
      </w:r>
      <w:r>
        <w:rPr>
          <w:rFonts w:hint="eastAsia" w:ascii="宋体" w:hAnsi="宋体" w:eastAsia="宋体" w:cs="宋体"/>
          <w:color w:val="auto"/>
          <w:sz w:val="24"/>
          <w:szCs w:val="24"/>
          <w:lang w:eastAsia="zh-CN"/>
        </w:rPr>
        <w:t xml:space="preserve">等安装辅材所必需的全部内容，需合理测算，综合报价！</w:t>
      </w:r>
      <w:r/>
    </w:p>
    <w:p>
      <w:pPr>
        <w:pStyle w:val="110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（2)上述清单中涉及“标志牌”之“单柱式安装”，均以成套建成后的综合价格为综合单价，包括标志牌、单立柱、基础、钢筋笼、抱箍及配套的连接螺栓螺帽</w:t>
      </w:r>
      <w:r>
        <w:rPr>
          <w:rFonts w:hint="eastAsia" w:ascii="宋体" w:hAnsi="宋体" w:eastAsia="宋体" w:cs="宋体"/>
          <w:color w:val="auto"/>
          <w:sz w:val="24"/>
          <w:szCs w:val="24"/>
          <w:highlight w:val="none"/>
          <w:lang w:eastAsia="zh-CN"/>
        </w:rPr>
        <w:t xml:space="preserve">、基坑、钢筋笼</w:t>
      </w:r>
      <w:r>
        <w:rPr>
          <w:rFonts w:hint="eastAsia" w:ascii="宋体" w:hAnsi="宋体" w:eastAsia="宋体" w:cs="宋体"/>
          <w:color w:val="auto"/>
          <w:sz w:val="24"/>
          <w:szCs w:val="24"/>
          <w:lang w:eastAsia="zh-CN"/>
        </w:rPr>
        <w:t xml:space="preserve">等各类安装连接附件。</w:t>
      </w:r>
      <w:r/>
    </w:p>
    <w:p>
      <w:pPr>
        <w:pStyle w:val="1100"/>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auto"/>
          <w:sz w:val="24"/>
          <w:szCs w:val="24"/>
          <w:lang w:eastAsia="zh-CN"/>
        </w:rPr>
        <w:t xml:space="preserve">（3)上述清单中涉及各子项均为安装完成满足交付条件的综合计价。</w:t>
      </w:r>
      <w:r/>
    </w:p>
    <w:p>
      <w:pPr>
        <w:pStyle w:val="1100"/>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（4)本项目为货物采购项目。</w:t>
      </w:r>
      <w:r/>
    </w:p>
    <w:p>
      <w:pPr>
        <w:pStyle w:val="1100"/>
        <w:numPr>
          <w:ilvl w:val="0"/>
          <w:numId w:val="0"/>
        </w:numPr>
        <w:keepLines w:val="0"/>
        <w:keepNext w:val="0"/>
        <w:pageBreakBefore w:val="0"/>
        <w:spacing w:line="360" w:lineRule="auto"/>
        <w:widowControl w:val="off"/>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 xml:space="preserve">本项目核心产品为：900万电警抓拍单元</w:t>
      </w:r>
      <w:r/>
    </w:p>
    <w:p>
      <w:r>
        <w:rPr>
          <w:rFonts w:hint="eastAsia" w:ascii="宋体" w:hAnsi="宋体" w:eastAsia="宋体" w:cs="宋体"/>
          <w:b/>
          <w:bCs/>
          <w:color w:val="ff0000"/>
          <w:sz w:val="24"/>
          <w:szCs w:val="24"/>
          <w:lang w:val="en-US" w:eastAsia="zh-CN"/>
        </w:rPr>
        <w:t xml:space="preserve">本章</w:t>
      </w:r>
      <w:r>
        <w:rPr>
          <w:rFonts w:hint="eastAsia" w:ascii="宋体" w:hAnsi="宋体" w:eastAsia="宋体" w:cs="宋体"/>
          <w:b/>
          <w:bCs/>
          <w:color w:val="ff0000"/>
          <w:sz w:val="24"/>
          <w:szCs w:val="24"/>
        </w:rPr>
        <w:t xml:space="preserve">加“★”项为实质性条款不接受负偏离，</w:t>
      </w:r>
      <w:r>
        <w:rPr>
          <w:rFonts w:hint="eastAsia" w:ascii="宋体" w:hAnsi="宋体" w:eastAsia="宋体" w:cs="宋体"/>
          <w:b/>
          <w:bCs/>
          <w:color w:val="ff0000"/>
          <w:sz w:val="24"/>
          <w:szCs w:val="24"/>
          <w:lang w:eastAsia="zh-CN"/>
        </w:rPr>
        <w:t xml:space="preserve">允许正偏离</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不响应</w:t>
      </w:r>
      <w:r>
        <w:rPr>
          <w:rFonts w:hint="eastAsia" w:ascii="宋体" w:hAnsi="宋体" w:cs="宋体"/>
          <w:b/>
          <w:bCs/>
          <w:color w:val="ff0000"/>
          <w:sz w:val="24"/>
          <w:szCs w:val="24"/>
          <w:lang w:eastAsia="zh-CN"/>
        </w:rPr>
        <w:t xml:space="preserve">不提供</w:t>
      </w:r>
      <w:r>
        <w:rPr>
          <w:rFonts w:hint="eastAsia" w:ascii="宋体" w:hAnsi="宋体" w:eastAsia="宋体" w:cs="宋体"/>
          <w:b/>
          <w:bCs/>
          <w:color w:val="ff0000"/>
          <w:sz w:val="24"/>
          <w:szCs w:val="24"/>
        </w:rPr>
        <w:t xml:space="preserve">作无效标处理</w:t>
      </w:r>
      <w:r>
        <w:rPr>
          <w:rFonts w:hint="eastAsia" w:ascii="宋体" w:hAnsi="宋体" w:eastAsia="宋体" w:cs="宋体"/>
          <w:b/>
          <w:bCs/>
          <w:color w:val="ff0000"/>
          <w:sz w:val="24"/>
          <w:szCs w:val="24"/>
          <w:lang w:eastAsia="zh-CN"/>
        </w:rPr>
        <w:t xml:space="preserve">。</w:t>
      </w:r>
      <w:r/>
    </w:p>
    <w:p>
      <w:pPr>
        <w:spacing w:line="499" w:lineRule="atLeast"/>
        <w:rPr>
          <w:rFonts w:hint="eastAsia" w:ascii="宋体" w:hAnsi="宋体" w:eastAsia="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rPr>
        <w:br w:type="page" w:clear="all"/>
      </w:r>
      <w:r/>
    </w:p>
    <w:p>
      <w:pPr>
        <w:pStyle w:val="821"/>
        <w:numPr>
          <w:ilvl w:val="0"/>
          <w:numId w:val="0"/>
        </w:numPr>
        <w:jc w:val="center"/>
        <w:keepNext w:val="0"/>
        <w:pageBreakBefore w:val="0"/>
        <w:spacing w:line="360" w:lineRule="auto"/>
        <w:rPr>
          <w:rFonts w:hint="eastAsia" w:ascii="宋体" w:hAnsi="宋体" w:eastAsia="宋体" w:cs="宋体"/>
          <w:b/>
          <w:bCs w:val="0"/>
          <w:color w:val="auto"/>
          <w:sz w:val="44"/>
          <w:szCs w:val="44"/>
        </w:rPr>
      </w:pPr>
      <w:r>
        <w:rPr>
          <w:rFonts w:hint="eastAsia" w:ascii="宋体" w:hAnsi="宋体" w:eastAsia="宋体" w:cs="宋体"/>
          <w:b/>
          <w:bCs w:val="0"/>
          <w:color w:val="auto"/>
          <w:sz w:val="32"/>
          <w:szCs w:val="32"/>
        </w:rPr>
        <w:t xml:space="preserve">第六章  </w:t>
      </w:r>
      <w:r>
        <w:rPr>
          <w:rFonts w:hint="eastAsia" w:ascii="宋体" w:hAnsi="宋体" w:eastAsia="宋体" w:cs="宋体"/>
          <w:b/>
          <w:bCs w:val="0"/>
          <w:color w:val="auto"/>
          <w:sz w:val="32"/>
          <w:szCs w:val="32"/>
          <w:lang w:eastAsia="zh-CN"/>
        </w:rPr>
        <w:t xml:space="preserve">投标文件</w:t>
      </w:r>
      <w:r>
        <w:rPr>
          <w:rFonts w:hint="eastAsia" w:ascii="宋体" w:hAnsi="宋体" w:eastAsia="宋体" w:cs="宋体"/>
          <w:b/>
          <w:bCs w:val="0"/>
          <w:color w:val="auto"/>
          <w:sz w:val="32"/>
          <w:szCs w:val="32"/>
        </w:rPr>
        <w:t xml:space="preserve">的组成和格式</w:t>
      </w:r>
      <w:bookmarkEnd w:id="10"/>
      <w:r/>
      <w:bookmarkStart w:id="12" w:name="_Toc5709_WPSOffice_Level1"/>
      <w:r/>
      <w:r/>
    </w:p>
    <w:p>
      <w:pPr>
        <w:pStyle w:val="1013"/>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1013"/>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12"/>
      <w:r/>
      <w:r/>
    </w:p>
    <w:p>
      <w:pPr>
        <w:pStyle w:val="1013"/>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1013"/>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1013"/>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1013"/>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3"/>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13"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13"/>
      <w:r>
        <w:rPr>
          <w:rFonts w:hint="eastAsia" w:ascii="宋体" w:hAnsi="宋体" w:cs="宋体"/>
          <w:b/>
          <w:bCs/>
          <w:color w:val="auto"/>
          <w:sz w:val="36"/>
          <w:lang w:eastAsia="zh-CN"/>
        </w:rPr>
        <w:t xml:space="preserve">：</w:t>
      </w:r>
      <w:r/>
    </w:p>
    <w:p>
      <w:pPr>
        <w:pStyle w:val="1013"/>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3"/>
        <w:ind w:firstLine="1428"/>
        <w:keepNext w:val="0"/>
        <w:pageBreakBefore w:val="0"/>
        <w:spacing w:line="360" w:lineRule="auto"/>
        <w:rPr>
          <w:rFonts w:hint="eastAsia" w:ascii="宋体" w:hAnsi="宋体" w:eastAsia="宋体" w:cs="宋体"/>
          <w:b/>
          <w:color w:val="auto"/>
          <w:sz w:val="36"/>
          <w:szCs w:val="24"/>
          <w:lang w:eastAsia="zh-CN"/>
        </w:rPr>
      </w:pPr>
      <w:r/>
      <w:bookmarkStart w:id="14" w:name="_Toc12183_WPSOffice_Level1"/>
      <w:r>
        <w:rPr>
          <w:rFonts w:hint="eastAsia" w:ascii="宋体" w:hAnsi="宋体" w:eastAsia="宋体" w:cs="宋体"/>
          <w:b/>
          <w:color w:val="auto"/>
          <w:sz w:val="36"/>
          <w:szCs w:val="24"/>
        </w:rPr>
        <w:t xml:space="preserve">项目编号</w:t>
      </w:r>
      <w:bookmarkEnd w:id="14"/>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15" w:name="_Toc5759_WPSOffice_Level1"/>
      <w:r/>
      <w:bookmarkEnd w:id="15"/>
      <w:r/>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1013"/>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3"/>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3"/>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3"/>
        <w:ind w:firstLine="3975"/>
        <w:keepNext w:val="0"/>
        <w:pageBreakBefore w:val="0"/>
        <w:spacing w:line="360" w:lineRule="auto"/>
        <w:rPr>
          <w:rFonts w:hint="eastAsia" w:ascii="宋体" w:hAnsi="宋体" w:cs="宋体"/>
          <w:color w:val="auto"/>
          <w:sz w:val="24"/>
        </w:rPr>
      </w:pPr>
      <w:r/>
      <w:bookmarkStart w:id="16" w:name="_Toc3474_WPSOffice_Level1"/>
      <w:r>
        <w:rPr>
          <w:rFonts w:hint="eastAsia" w:ascii="宋体" w:hAnsi="宋体" w:eastAsia="宋体" w:cs="宋体"/>
          <w:b/>
          <w:color w:val="auto"/>
          <w:sz w:val="36"/>
          <w:szCs w:val="24"/>
        </w:rPr>
        <w:t xml:space="preserve">年    月    日</w:t>
      </w:r>
      <w:bookmarkEnd w:id="16"/>
      <w:r/>
      <w:r/>
    </w:p>
    <w:p>
      <w:pPr>
        <w:pStyle w:val="1013"/>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尊敬的</w:t>
      </w:r>
      <w:r>
        <w:rPr>
          <w:rFonts w:hint="eastAsia" w:ascii="宋体" w:hAnsi="宋体" w:cs="宋体"/>
          <w:color w:val="auto"/>
          <w:sz w:val="24"/>
          <w:szCs w:val="24"/>
          <w:lang w:eastAsia="zh-CN"/>
        </w:rPr>
        <w:t xml:space="preserve">投标人：</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请按照以下文件的要求格式、内容制作</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，并请编制目录及页码，否则可能将影响对</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的评价。</w:t>
      </w:r>
      <w:r/>
    </w:p>
    <w:p>
      <w:pPr>
        <w:ind w:firstLine="480"/>
        <w:keepNext w:val="0"/>
        <w:pageBreakBefore w:val="0"/>
        <w:spacing w:line="360" w:lineRule="auto"/>
        <w:rPr>
          <w:rFonts w:hint="eastAsia" w:ascii="宋体" w:hAnsi="宋体" w:eastAsia="宋体" w:cs="宋体"/>
          <w:b w:val="0"/>
          <w:bCs w:val="0"/>
          <w:color w:val="auto"/>
          <w:sz w:val="24"/>
          <w:szCs w:val="24"/>
        </w:rPr>
      </w:pPr>
      <w:r/>
      <w:bookmarkStart w:id="17" w:name="_Toc18404_WPSOffice_Level1"/>
      <w:r>
        <w:rPr>
          <w:rFonts w:hint="eastAsia" w:ascii="宋体" w:hAnsi="宋体" w:cs="宋体"/>
          <w:b w:val="0"/>
          <w:bCs w:val="0"/>
          <w:color w:val="auto"/>
          <w:sz w:val="24"/>
          <w:szCs w:val="24"/>
          <w:lang w:eastAsia="zh-CN"/>
        </w:rPr>
        <w:t xml:space="preserve">投标文件</w:t>
      </w:r>
      <w:r>
        <w:rPr>
          <w:rFonts w:hint="eastAsia" w:ascii="宋体" w:hAnsi="宋体" w:eastAsia="宋体" w:cs="宋体"/>
          <w:b w:val="0"/>
          <w:bCs w:val="0"/>
          <w:color w:val="auto"/>
          <w:sz w:val="24"/>
          <w:szCs w:val="24"/>
        </w:rPr>
        <w:t xml:space="preserve">格式中所有要求签字和盖章的部分只需加盖</w:t>
      </w:r>
      <w:r>
        <w:rPr>
          <w:rFonts w:hint="eastAsia" w:ascii="宋体" w:hAnsi="宋体" w:eastAsia="宋体" w:cs="宋体"/>
          <w:b/>
          <w:bCs/>
          <w:color w:val="auto"/>
          <w:sz w:val="24"/>
          <w:szCs w:val="24"/>
        </w:rPr>
        <w:t xml:space="preserve">电子</w:t>
      </w:r>
      <w:r>
        <w:rPr>
          <w:rFonts w:hint="eastAsia" w:ascii="宋体" w:hAnsi="宋体" w:eastAsia="宋体" w:cs="宋体"/>
          <w:b/>
          <w:bCs/>
          <w:color w:val="auto"/>
          <w:sz w:val="24"/>
          <w:szCs w:val="24"/>
          <w:lang w:eastAsia="zh-CN"/>
        </w:rPr>
        <w:t xml:space="preserve">公</w:t>
      </w:r>
      <w:r>
        <w:rPr>
          <w:rFonts w:hint="eastAsia" w:ascii="宋体" w:hAnsi="宋体" w:eastAsia="宋体" w:cs="宋体"/>
          <w:b/>
          <w:bCs/>
          <w:color w:val="auto"/>
          <w:sz w:val="24"/>
          <w:szCs w:val="24"/>
        </w:rPr>
        <w:t xml:space="preserve">章</w:t>
      </w:r>
      <w:r>
        <w:rPr>
          <w:rFonts w:hint="eastAsia" w:ascii="宋体" w:hAnsi="宋体" w:eastAsia="宋体" w:cs="宋体"/>
          <w:b w:val="0"/>
          <w:bCs w:val="0"/>
          <w:color w:val="auto"/>
          <w:sz w:val="24"/>
          <w:szCs w:val="24"/>
        </w:rPr>
        <w:t xml:space="preserve">。</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一、</w:t>
      </w:r>
      <w:bookmarkEnd w:id="17"/>
      <w:r>
        <w:rPr>
          <w:rFonts w:hint="eastAsia" w:ascii="宋体" w:hAnsi="宋体" w:eastAsia="宋体" w:cs="宋体"/>
          <w:b/>
          <w:bCs/>
          <w:color w:val="auto"/>
          <w:sz w:val="32"/>
          <w:szCs w:val="32"/>
        </w:rPr>
        <w:t xml:space="preserve">投标函</w:t>
      </w:r>
      <w:r/>
    </w:p>
    <w:p>
      <w:pPr>
        <w:pStyle w:val="1013"/>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rPr>
        <w:t xml:space="preserve">                      </w:t>
      </w:r>
      <w:r>
        <w:rPr>
          <w:rFonts w:hint="eastAsia" w:hAnsi="宋体" w:cs="宋体"/>
          <w:color w:val="auto"/>
          <w:sz w:val="24"/>
          <w:szCs w:val="24"/>
          <w:lang w:eastAsia="zh-CN"/>
        </w:rPr>
        <w:t xml:space="preserve">：</w:t>
      </w:r>
      <w:r/>
    </w:p>
    <w:p>
      <w:pPr>
        <w:pStyle w:val="1128"/>
        <w:ind w:firstLine="480"/>
        <w:keepNext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采购项目（项</w:t>
      </w:r>
      <w:r>
        <w:rPr>
          <w:rFonts w:hint="eastAsia" w:ascii="宋体" w:hAnsi="宋体" w:eastAsia="宋体" w:cs="宋体"/>
          <w:color w:val="auto"/>
          <w:sz w:val="24"/>
          <w:szCs w:val="24"/>
          <w:highlight w:val="none"/>
        </w:rPr>
        <w:t xml:space="preserve">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（包括更正公告，如果有的话）收悉，我们经详细审阅和研究，现决定参加本项目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单位名称），全权处理本次项目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的有关事宜。</w:t>
      </w:r>
      <w:r/>
    </w:p>
    <w:p>
      <w:pPr>
        <w:pStyle w:val="1011"/>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en-US" w:eastAsia="zh-CN"/>
        </w:rPr>
        <w:t xml:space="preserve">招标文件</w:t>
      </w:r>
      <w:r>
        <w:rPr>
          <w:rFonts w:hint="eastAsia" w:ascii="宋体" w:hAnsi="宋体" w:eastAsia="宋体" w:cs="宋体"/>
          <w:color w:val="auto"/>
          <w:sz w:val="24"/>
          <w:szCs w:val="24"/>
        </w:rPr>
        <w:t xml:space="preserve">中规</w:t>
      </w:r>
      <w:r>
        <w:rPr>
          <w:rFonts w:hint="eastAsia" w:ascii="宋体" w:hAnsi="宋体" w:eastAsia="宋体" w:cs="宋体"/>
          <w:color w:val="auto"/>
          <w:sz w:val="24"/>
          <w:szCs w:val="24"/>
          <w:lang w:eastAsia="zh-CN"/>
        </w:rPr>
        <w:t xml:space="preserve">定的</w:t>
      </w:r>
      <w:r>
        <w:rPr>
          <w:rFonts w:hint="eastAsia" w:ascii="宋体" w:hAnsi="宋体" w:eastAsia="宋体" w:cs="宋体"/>
          <w:color w:val="auto"/>
          <w:sz w:val="24"/>
          <w:szCs w:val="24"/>
        </w:rPr>
        <w:t xml:space="preserve">各项要求，我方愿以人民币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）的报价并按招标文件的规定要求提供所</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货物及服务。</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我们接受招标文件的所有的条款和规定。</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我们同意按照招标文件第二章第 14 条的规定，本投标文件的有效期为从开标之</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如果我们成交，为执行合同，我们将按照招标文件规定要求提交履约保证金。</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参加本次政府采购活动前三年内，我公司在经营活动中没有因违法经营受到刑事处罚或者责令停产停业、吊销许可证或者执照、较大数额罚款等行政处罚。</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参加本次采购活动前，我方没有被“信用中国”网站、“中国政府采购网”列入失信被执行人名单、重大税收违法案件当事人名单、政府采购严重违法失信行为记录名单。</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我公司具备履行合同所必需的设备和专业技术能力。 </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我公司具备《中华人民共和国政府采购法》第二十二条规定的六项条件。</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我们理解，你们无义务必须接受投标价最低的投标。同时也理解你们不承担我们本次投标的费用。</w:t>
      </w:r>
      <w:r/>
    </w:p>
    <w:p>
      <w:pPr>
        <w:pStyle w:val="1011"/>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我们同意向贵方提供贵方可能要求的与投标有关的任何证据或资料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并保证所提供的都是真实的、准确的。</w:t>
      </w:r>
      <w:r/>
    </w:p>
    <w:p>
      <w:pPr>
        <w:pStyle w:val="1011"/>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一旦我方中标，我方将根据招标文件的规定，严格履行合同的责任和义务，并保证按招标文件中规定的时间内供货，</w:t>
      </w:r>
      <w:r>
        <w:rPr>
          <w:rFonts w:hint="eastAsia" w:ascii="宋体" w:hAnsi="宋体" w:eastAsia="宋体" w:cs="宋体"/>
          <w:color w:val="auto"/>
          <w:sz w:val="24"/>
          <w:szCs w:val="24"/>
          <w:lang w:val="en-US" w:eastAsia="zh-CN"/>
        </w:rPr>
        <w:t xml:space="preserve">完</w:t>
      </w:r>
      <w:r>
        <w:rPr>
          <w:rFonts w:hint="eastAsia" w:ascii="宋体" w:hAnsi="宋体" w:eastAsia="宋体" w:cs="宋体"/>
          <w:color w:val="auto"/>
          <w:sz w:val="24"/>
          <w:szCs w:val="24"/>
        </w:rPr>
        <w:t xml:space="preserve">成项目的施工、调试、交付买方验收、使用。否则我们的履约保证金将被贵方没收。</w:t>
      </w:r>
      <w:r/>
    </w:p>
    <w:p>
      <w:pPr>
        <w:pStyle w:val="1011"/>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我们没有为项目提供整体设计、规范编制或者项目管理、监理、检测等服务。</w:t>
      </w:r>
      <w:r/>
    </w:p>
    <w:p>
      <w:pPr>
        <w:pStyle w:val="1011"/>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11"/>
        <w:ind w:firstLine="480"/>
        <w:jc w:val="both"/>
        <w:keepNext w:val="0"/>
        <w:pageBreakBefore w:val="0"/>
        <w:spacing w:line="360" w:lineRule="auto"/>
        <w:tabs>
          <w:tab w:val="left" w:pos="6199" w:leader="none"/>
          <w:tab w:val="left" w:pos="8143" w:leader="none"/>
        </w:tabs>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p>
    <w:p>
      <w:pPr>
        <w:pStyle w:val="1011"/>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pStyle w:val="1011"/>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pStyle w:val="1011"/>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color w:val="auto"/>
          <w:sz w:val="32"/>
          <w:szCs w:val="32"/>
          <w:lang w:val="en-US" w:eastAsia="zh-CN"/>
        </w:rPr>
      </w:pPr>
      <w:r>
        <w:rPr>
          <w:rFonts w:hint="eastAsia" w:ascii="宋体" w:hAnsi="宋体" w:eastAsia="宋体" w:cs="宋体"/>
          <w:b/>
          <w:bCs w:val="0"/>
          <w:color w:val="auto"/>
          <w:sz w:val="32"/>
          <w:szCs w:val="32"/>
          <w:lang w:val="en-US" w:eastAsia="zh-CN"/>
        </w:rPr>
        <w:t xml:space="preserve">二、开标一览表</w:t>
      </w:r>
      <w:r/>
    </w:p>
    <w:tbl>
      <w:tblPr>
        <w:tblStyle w:val="1140"/>
        <w:tblW w:w="9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5"/>
        <w:gridCol w:w="7134"/>
      </w:tblGrid>
      <w:tr>
        <w:trPr>
          <w:jc w:val="center"/>
          <w:trHeight w:val="780"/>
        </w:trPr>
        <w:tc>
          <w:tcPr>
            <w:tcW w:w="2605" w:type="dxa"/>
            <w:vAlign w:val="center"/>
            <w:textDirection w:val="lrTb"/>
            <w:noWrap w:val="false"/>
          </w:tcPr>
          <w:p>
            <w:pPr>
              <w:pStyle w:val="1139"/>
              <w:jc w:val="center"/>
              <w:spacing w:line="240" w:lineRule="auto"/>
              <w:rPr>
                <w:color w:val="auto"/>
              </w:rPr>
            </w:pPr>
            <w:r>
              <w:rPr>
                <w:rFonts w:hint="eastAsia"/>
                <w:color w:val="auto"/>
                <w:spacing w:val="-3"/>
                <w:lang w:eastAsia="zh-CN"/>
              </w:rPr>
              <w:t xml:space="preserve">项目</w:t>
            </w:r>
            <w:r>
              <w:rPr>
                <w:color w:val="auto"/>
                <w:spacing w:val="-3"/>
              </w:rPr>
              <w:t xml:space="preserve">名称</w:t>
            </w:r>
            <w:r/>
          </w:p>
        </w:tc>
        <w:tc>
          <w:tcPr>
            <w:tcW w:w="7134" w:type="dxa"/>
            <w:vAlign w:val="center"/>
            <w:textDirection w:val="lrTb"/>
            <w:noWrap w:val="false"/>
          </w:tcPr>
          <w:p>
            <w:pPr>
              <w:jc w:val="center"/>
              <w:spacing w:line="240" w:lineRule="auto"/>
              <w:rPr>
                <w:color w:val="auto"/>
              </w:rPr>
            </w:pPr>
            <w:r>
              <w:rPr>
                <w:color w:val="auto"/>
              </w:rPr>
            </w:r>
            <w:r/>
          </w:p>
        </w:tc>
      </w:tr>
      <w:tr>
        <w:trPr>
          <w:jc w:val="center"/>
          <w:trHeight w:val="767"/>
        </w:trPr>
        <w:tc>
          <w:tcPr>
            <w:tcW w:w="2605" w:type="dxa"/>
            <w:vAlign w:val="center"/>
            <w:textDirection w:val="lrTb"/>
            <w:noWrap w:val="false"/>
          </w:tcPr>
          <w:p>
            <w:pPr>
              <w:pStyle w:val="1139"/>
              <w:ind w:left="831"/>
              <w:jc w:val="both"/>
              <w:spacing w:line="240" w:lineRule="auto"/>
              <w:rPr>
                <w:color w:val="auto"/>
              </w:rPr>
            </w:pPr>
            <w:r>
              <w:rPr>
                <w:rFonts w:hint="eastAsia"/>
                <w:color w:val="auto"/>
                <w:spacing w:val="-3"/>
                <w:lang w:eastAsia="zh-CN"/>
              </w:rPr>
              <w:t xml:space="preserve">项目</w:t>
            </w:r>
            <w:r>
              <w:rPr>
                <w:color w:val="auto"/>
                <w:spacing w:val="-3"/>
              </w:rPr>
              <w:t xml:space="preserve">编号</w:t>
            </w:r>
            <w:r/>
          </w:p>
        </w:tc>
        <w:tc>
          <w:tcPr>
            <w:tcW w:w="7134" w:type="dxa"/>
            <w:vAlign w:val="center"/>
            <w:textDirection w:val="lrTb"/>
            <w:noWrap w:val="false"/>
          </w:tcPr>
          <w:p>
            <w:pPr>
              <w:jc w:val="center"/>
              <w:spacing w:line="240" w:lineRule="auto"/>
              <w:rPr>
                <w:color w:val="auto"/>
              </w:rPr>
            </w:pPr>
            <w:r>
              <w:rPr>
                <w:color w:val="auto"/>
              </w:rPr>
            </w:r>
            <w:r/>
          </w:p>
        </w:tc>
      </w:tr>
      <w:tr>
        <w:trPr>
          <w:jc w:val="center"/>
          <w:trHeight w:val="1559"/>
        </w:trPr>
        <w:tc>
          <w:tcPr>
            <w:tcW w:w="2605" w:type="dxa"/>
            <w:vAlign w:val="center"/>
            <w:textDirection w:val="lrTb"/>
            <w:noWrap w:val="false"/>
          </w:tcPr>
          <w:p>
            <w:pPr>
              <w:pStyle w:val="1139"/>
              <w:jc w:val="center"/>
              <w:spacing w:line="240" w:lineRule="auto"/>
              <w:rPr>
                <w:rFonts w:hint="eastAsia" w:eastAsia="宋体"/>
                <w:color w:val="auto"/>
                <w:lang w:eastAsia="zh-CN"/>
              </w:rPr>
            </w:pPr>
            <w:r>
              <w:rPr>
                <w:color w:val="auto"/>
                <w:spacing w:val="-4"/>
              </w:rPr>
              <w:t xml:space="preserve">投标报价</w:t>
            </w:r>
            <w:r>
              <w:rPr>
                <w:rFonts w:hint="eastAsia"/>
                <w:color w:val="auto"/>
                <w:spacing w:val="-4"/>
                <w:lang w:eastAsia="zh-CN"/>
              </w:rPr>
              <w:t xml:space="preserve">（元）</w:t>
            </w:r>
            <w:r/>
          </w:p>
        </w:tc>
        <w:tc>
          <w:tcPr>
            <w:tcW w:w="7134" w:type="dxa"/>
            <w:vAlign w:val="center"/>
            <w:textDirection w:val="lrTb"/>
            <w:noWrap w:val="false"/>
          </w:tcPr>
          <w:p>
            <w:pPr>
              <w:pStyle w:val="1139"/>
              <w:jc w:val="both"/>
              <w:spacing w:line="240" w:lineRule="auto"/>
              <w:rPr>
                <w:color w:val="auto"/>
                <w:spacing w:val="-93"/>
              </w:rPr>
            </w:pPr>
            <w:r>
              <w:rPr>
                <w:color w:val="auto"/>
                <w:spacing w:val="-2"/>
              </w:rPr>
              <w:t xml:space="preserve">（大写）人民币</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color w:val="auto"/>
                <w:spacing w:val="-93"/>
              </w:rPr>
              <w:t xml:space="preserve"> </w:t>
            </w:r>
            <w:r/>
          </w:p>
          <w:p>
            <w:pPr>
              <w:pStyle w:val="1139"/>
              <w:jc w:val="both"/>
              <w:spacing w:line="240" w:lineRule="auto"/>
              <w:rPr>
                <w:color w:val="auto"/>
                <w:spacing w:val="-93"/>
              </w:rPr>
            </w:pPr>
            <w:r>
              <w:rPr>
                <w:color w:val="auto"/>
                <w:spacing w:val="-93"/>
              </w:rPr>
            </w:r>
            <w:r/>
          </w:p>
          <w:p>
            <w:pPr>
              <w:pStyle w:val="1139"/>
              <w:jc w:val="both"/>
              <w:spacing w:line="240" w:lineRule="auto"/>
              <w:rPr>
                <w:rFonts w:hint="default" w:eastAsia="宋体"/>
                <w:color w:val="auto"/>
                <w:lang w:val="en-US" w:eastAsia="zh-CN"/>
              </w:rPr>
            </w:pPr>
            <w:r>
              <w:rPr>
                <w:color w:val="auto"/>
                <w:spacing w:val="-2"/>
              </w:rPr>
              <w:t xml:space="preserve">（小写）</w:t>
            </w:r>
            <w:r>
              <w:rPr>
                <w:rFonts w:hint="eastAsia"/>
                <w:color w:val="auto"/>
                <w:spacing w:val="-2"/>
              </w:rPr>
              <w:t xml:space="preserve">￥</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color w:val="auto"/>
                <w:spacing w:val="-101"/>
              </w:rPr>
              <w:t xml:space="preserve"> </w:t>
            </w:r>
            <w:r>
              <w:rPr>
                <w:rFonts w:hint="eastAsia"/>
                <w:color w:val="auto"/>
                <w:spacing w:val="-101"/>
                <w:lang w:val="en-US" w:eastAsia="zh-CN"/>
              </w:rPr>
              <w:t xml:space="preserve">       </w:t>
            </w:r>
            <w:r/>
          </w:p>
        </w:tc>
      </w:tr>
      <w:tr>
        <w:trPr>
          <w:jc w:val="center"/>
          <w:trHeight w:val="980"/>
        </w:trPr>
        <w:tc>
          <w:tcPr>
            <w:tcW w:w="2605" w:type="dxa"/>
            <w:vAlign w:val="center"/>
            <w:textDirection w:val="lrTb"/>
            <w:noWrap w:val="false"/>
          </w:tcPr>
          <w:p>
            <w:pPr>
              <w:pStyle w:val="1139"/>
              <w:jc w:val="center"/>
              <w:spacing w:line="240" w:lineRule="auto"/>
              <w:rPr>
                <w:color w:val="auto"/>
              </w:rPr>
            </w:pPr>
            <w:r>
              <w:rPr>
                <w:color w:val="auto"/>
                <w:spacing w:val="-2"/>
              </w:rPr>
              <w:t xml:space="preserve">合同履行期限</w:t>
            </w:r>
            <w:r/>
          </w:p>
        </w:tc>
        <w:tc>
          <w:tcPr>
            <w:tcW w:w="7134" w:type="dxa"/>
            <w:vAlign w:val="center"/>
            <w:textDirection w:val="lrTb"/>
            <w:noWrap w:val="false"/>
          </w:tcPr>
          <w:p>
            <w:pPr>
              <w:jc w:val="center"/>
              <w:spacing w:line="240" w:lineRule="auto"/>
              <w:rPr>
                <w:color w:val="auto"/>
              </w:rPr>
            </w:pPr>
            <w:r>
              <w:rPr>
                <w:color w:val="auto"/>
              </w:rPr>
            </w:r>
            <w:r/>
          </w:p>
        </w:tc>
      </w:tr>
    </w:tbl>
    <w:p>
      <w:pPr>
        <w:numPr>
          <w:ilvl w:val="0"/>
          <w:numId w:val="0"/>
        </w:numPr>
        <w:jc w:val="both"/>
        <w:keepNext w:val="0"/>
        <w:pageBreakBefore w:val="0"/>
        <w:spacing w:before="19"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011"/>
        <w:jc w:val="both"/>
        <w:keepNext w:val="0"/>
        <w:pageBreakBefore w:val="0"/>
        <w:spacing w:line="360" w:lineRule="auto"/>
        <w:tabs>
          <w:tab w:val="left" w:pos="6199" w:leader="none"/>
          <w:tab w:val="left" w:pos="8143" w:leader="none"/>
        </w:tabs>
        <w:rPr>
          <w:rFonts w:hint="default" w:ascii="宋体" w:hAnsi="宋体" w:eastAsia="仿宋_GB2312"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rFonts w:hint="eastAsia"/>
          <w:color w:val="auto"/>
          <w:spacing w:val="-2"/>
          <w:u w:val="single"/>
          <w:lang w:val="en-US" w:eastAsia="zh-CN"/>
        </w:rPr>
        <w:t xml:space="preserve">  </w:t>
      </w:r>
      <w:r/>
    </w:p>
    <w:p>
      <w:pPr>
        <w:pStyle w:val="101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101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此表为表样，表式不变。</w:t>
      </w:r>
      <w:r/>
    </w:p>
    <w:p>
      <w:pPr>
        <w:pStyle w:val="101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如果单价和总价不符时，以单价为准。</w:t>
      </w:r>
      <w:r/>
    </w:p>
    <w:p>
      <w:pPr>
        <w:pStyle w:val="101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价格应按照招标文件第二章第</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条的要求报价。</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cs="宋体"/>
          <w:b/>
          <w:bCs/>
          <w:color w:val="auto"/>
          <w:sz w:val="32"/>
          <w:szCs w:val="32"/>
        </w:rPr>
      </w:pPr>
      <w:r>
        <w:rPr>
          <w:rFonts w:hint="eastAsia" w:ascii="宋体" w:hAnsi="宋体" w:cs="宋体"/>
          <w:b/>
          <w:bCs/>
          <w:color w:val="auto"/>
          <w:sz w:val="32"/>
          <w:szCs w:val="32"/>
          <w:lang w:val="en-US" w:eastAsia="zh-CN"/>
        </w:rPr>
        <w:t xml:space="preserve">三、投标报价明细表</w:t>
      </w:r>
      <w:r/>
    </w:p>
    <w:p>
      <w:pPr>
        <w:jc w:val="cente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（注：根据第五章项目采购需求填写）</w:t>
      </w:r>
      <w:r/>
    </w:p>
    <w:tbl>
      <w:tblPr>
        <w:tblStyle w:val="1140"/>
        <w:tblW w:w="97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6"/>
        <w:gridCol w:w="1300"/>
        <w:gridCol w:w="1814"/>
        <w:gridCol w:w="1118"/>
        <w:gridCol w:w="907"/>
        <w:gridCol w:w="1262"/>
        <w:gridCol w:w="1232"/>
        <w:gridCol w:w="1208"/>
      </w:tblGrid>
      <w:tr>
        <w:trPr>
          <w:trHeight w:val="702"/>
        </w:trPr>
        <w:tc>
          <w:tcPr>
            <w:tcW w:w="906" w:type="dxa"/>
            <w:textDirection w:val="tbRlV"/>
            <w:noWrap w:val="false"/>
          </w:tcPr>
          <w:p>
            <w:pPr>
              <w:pStyle w:val="1139"/>
              <w:ind w:left="39"/>
              <w:spacing w:before="187" w:line="211" w:lineRule="auto"/>
              <w:rPr>
                <w:sz w:val="22"/>
                <w:szCs w:val="22"/>
              </w:rPr>
            </w:pPr>
            <w:r>
              <w:rPr>
                <w:spacing w:val="33"/>
                <w:sz w:val="22"/>
                <w:szCs w:val="22"/>
              </w:rPr>
              <w:t xml:space="preserve">序号</w:t>
            </w:r>
            <w:r/>
          </w:p>
        </w:tc>
        <w:tc>
          <w:tcPr>
            <w:tcW w:w="1300" w:type="dxa"/>
            <w:textDirection w:val="lrTb"/>
            <w:noWrap w:val="false"/>
          </w:tcPr>
          <w:p>
            <w:pPr>
              <w:pStyle w:val="1139"/>
              <w:ind w:left="313"/>
              <w:spacing w:before="184" w:line="222" w:lineRule="auto"/>
              <w:rPr>
                <w:sz w:val="22"/>
                <w:szCs w:val="22"/>
              </w:rPr>
            </w:pPr>
            <w:r>
              <w:rPr>
                <w:spacing w:val="-3"/>
                <w:sz w:val="22"/>
                <w:szCs w:val="22"/>
              </w:rPr>
              <w:t xml:space="preserve">设备名称</w:t>
            </w:r>
            <w:r/>
          </w:p>
        </w:tc>
        <w:tc>
          <w:tcPr>
            <w:tcW w:w="1814" w:type="dxa"/>
            <w:textDirection w:val="lrTb"/>
            <w:noWrap w:val="false"/>
          </w:tcPr>
          <w:p>
            <w:pPr>
              <w:pStyle w:val="1139"/>
              <w:ind w:left="612"/>
              <w:spacing w:before="183" w:line="221" w:lineRule="auto"/>
              <w:rPr>
                <w:sz w:val="22"/>
                <w:szCs w:val="22"/>
              </w:rPr>
            </w:pPr>
            <w:r>
              <w:rPr>
                <w:spacing w:val="-13"/>
                <w:sz w:val="22"/>
                <w:szCs w:val="22"/>
              </w:rPr>
              <w:t xml:space="preserve">品牌</w:t>
            </w:r>
            <w:r>
              <w:rPr>
                <w:rFonts w:hint="eastAsia"/>
                <w:spacing w:val="-13"/>
                <w:sz w:val="22"/>
                <w:szCs w:val="22"/>
                <w:lang w:eastAsia="zh-CN"/>
              </w:rPr>
              <w:t xml:space="preserve">型号</w:t>
            </w:r>
            <w:r/>
          </w:p>
        </w:tc>
        <w:tc>
          <w:tcPr>
            <w:tcW w:w="1118" w:type="dxa"/>
            <w:textDirection w:val="lrTb"/>
            <w:noWrap w:val="false"/>
          </w:tcPr>
          <w:p>
            <w:pPr>
              <w:pStyle w:val="1139"/>
              <w:ind w:left="132"/>
              <w:spacing w:before="183" w:line="222" w:lineRule="auto"/>
              <w:rPr>
                <w:sz w:val="22"/>
                <w:szCs w:val="22"/>
              </w:rPr>
            </w:pPr>
            <w:r>
              <w:rPr>
                <w:spacing w:val="-5"/>
                <w:sz w:val="22"/>
                <w:szCs w:val="22"/>
              </w:rPr>
              <w:t xml:space="preserve">单位</w:t>
            </w:r>
            <w:r/>
          </w:p>
        </w:tc>
        <w:tc>
          <w:tcPr>
            <w:tcW w:w="907" w:type="dxa"/>
            <w:textDirection w:val="lrTb"/>
            <w:noWrap w:val="false"/>
          </w:tcPr>
          <w:p>
            <w:pPr>
              <w:pStyle w:val="1139"/>
              <w:ind w:left="178"/>
              <w:spacing w:before="183" w:line="221" w:lineRule="auto"/>
              <w:rPr>
                <w:sz w:val="22"/>
                <w:szCs w:val="22"/>
              </w:rPr>
            </w:pPr>
            <w:r>
              <w:rPr>
                <w:spacing w:val="-5"/>
                <w:sz w:val="22"/>
                <w:szCs w:val="22"/>
              </w:rPr>
              <w:t xml:space="preserve">数量</w:t>
            </w:r>
            <w:r/>
          </w:p>
        </w:tc>
        <w:tc>
          <w:tcPr>
            <w:tcW w:w="1262" w:type="dxa"/>
            <w:textDirection w:val="lrTb"/>
            <w:noWrap w:val="false"/>
          </w:tcPr>
          <w:p>
            <w:pPr>
              <w:pStyle w:val="1139"/>
              <w:spacing w:before="184" w:line="219" w:lineRule="auto"/>
              <w:rPr>
                <w:rFonts w:hint="eastAsia" w:eastAsia="宋体"/>
                <w:sz w:val="22"/>
                <w:szCs w:val="22"/>
                <w:lang w:eastAsia="zh-CN"/>
              </w:rPr>
            </w:pPr>
            <w:r>
              <w:rPr>
                <w:spacing w:val="-5"/>
                <w:sz w:val="22"/>
                <w:szCs w:val="22"/>
              </w:rPr>
              <w:t xml:space="preserve">单价</w:t>
            </w:r>
            <w:r>
              <w:rPr>
                <w:rFonts w:hint="eastAsia"/>
                <w:spacing w:val="-5"/>
                <w:sz w:val="22"/>
                <w:szCs w:val="22"/>
                <w:lang w:eastAsia="zh-CN"/>
              </w:rPr>
              <w:t xml:space="preserve">（元）</w:t>
            </w:r>
            <w:r/>
          </w:p>
        </w:tc>
        <w:tc>
          <w:tcPr>
            <w:tcW w:w="1232" w:type="dxa"/>
            <w:textDirection w:val="lrTb"/>
            <w:noWrap w:val="false"/>
          </w:tcPr>
          <w:p>
            <w:pPr>
              <w:pStyle w:val="1139"/>
              <w:spacing w:before="184" w:line="219" w:lineRule="auto"/>
              <w:rPr>
                <w:rFonts w:hint="eastAsia" w:eastAsia="宋体"/>
                <w:sz w:val="22"/>
                <w:szCs w:val="22"/>
                <w:lang w:eastAsia="zh-CN"/>
              </w:rPr>
            </w:pPr>
            <w:r>
              <w:rPr>
                <w:spacing w:val="-5"/>
                <w:sz w:val="22"/>
                <w:szCs w:val="22"/>
              </w:rPr>
              <w:t xml:space="preserve">总价</w:t>
            </w:r>
            <w:r>
              <w:rPr>
                <w:rFonts w:hint="eastAsia"/>
                <w:spacing w:val="-5"/>
                <w:sz w:val="22"/>
                <w:szCs w:val="22"/>
                <w:lang w:eastAsia="zh-CN"/>
              </w:rPr>
              <w:t xml:space="preserve">（元）</w:t>
            </w:r>
            <w:r/>
          </w:p>
        </w:tc>
        <w:tc>
          <w:tcPr>
            <w:tcW w:w="1208" w:type="dxa"/>
            <w:textDirection w:val="lrTb"/>
            <w:noWrap w:val="false"/>
          </w:tcPr>
          <w:p>
            <w:pPr>
              <w:pStyle w:val="1139"/>
              <w:ind w:left="328"/>
              <w:spacing w:before="184" w:line="222" w:lineRule="auto"/>
              <w:rPr>
                <w:sz w:val="22"/>
                <w:szCs w:val="22"/>
              </w:rPr>
            </w:pPr>
            <w:r>
              <w:rPr>
                <w:spacing w:val="-5"/>
                <w:sz w:val="22"/>
                <w:szCs w:val="22"/>
              </w:rPr>
              <w:t xml:space="preserve">备注</w:t>
            </w:r>
            <w:r/>
          </w:p>
        </w:tc>
      </w:tr>
      <w:tr>
        <w:trPr>
          <w:trHeight w:val="603"/>
        </w:trPr>
        <w:tc>
          <w:tcPr>
            <w:tcW w:w="906" w:type="dxa"/>
            <w:textDirection w:val="lrTb"/>
            <w:noWrap w:val="false"/>
          </w:tcPr>
          <w:p>
            <w:pPr>
              <w:pStyle w:val="1139"/>
              <w:ind w:left="270"/>
              <w:spacing w:before="223" w:line="184" w:lineRule="auto"/>
              <w:rPr>
                <w:sz w:val="22"/>
                <w:szCs w:val="22"/>
              </w:rPr>
            </w:pPr>
            <w:r>
              <w:rPr>
                <w:sz w:val="22"/>
                <w:szCs w:val="22"/>
              </w:rPr>
              <w:t xml:space="preserve">1</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67"/>
        </w:trPr>
        <w:tc>
          <w:tcPr>
            <w:tcW w:w="906" w:type="dxa"/>
            <w:textDirection w:val="lrTb"/>
            <w:noWrap w:val="false"/>
          </w:tcPr>
          <w:p>
            <w:pPr>
              <w:pStyle w:val="1139"/>
              <w:ind w:left="256"/>
              <w:spacing w:before="256" w:line="184" w:lineRule="auto"/>
              <w:rPr>
                <w:sz w:val="22"/>
                <w:szCs w:val="22"/>
              </w:rPr>
            </w:pPr>
            <w:r>
              <w:rPr>
                <w:sz w:val="22"/>
                <w:szCs w:val="22"/>
              </w:rPr>
              <w:t xml:space="preserve">2</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97"/>
        </w:trPr>
        <w:tc>
          <w:tcPr>
            <w:tcW w:w="906" w:type="dxa"/>
            <w:textDirection w:val="lrTb"/>
            <w:noWrap w:val="false"/>
          </w:tcPr>
          <w:p>
            <w:pPr>
              <w:pStyle w:val="1139"/>
              <w:ind w:left="258"/>
              <w:spacing w:before="273" w:line="184" w:lineRule="auto"/>
              <w:rPr>
                <w:sz w:val="22"/>
                <w:szCs w:val="22"/>
              </w:rPr>
            </w:pPr>
            <w:r>
              <w:rPr>
                <w:sz w:val="22"/>
                <w:szCs w:val="22"/>
              </w:rPr>
              <w:t xml:space="preserve">3</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86"/>
        </w:trPr>
        <w:tc>
          <w:tcPr>
            <w:tcW w:w="906" w:type="dxa"/>
            <w:textDirection w:val="lrTb"/>
            <w:noWrap w:val="false"/>
          </w:tcPr>
          <w:p>
            <w:pPr>
              <w:pStyle w:val="1139"/>
              <w:ind w:left="253"/>
              <w:spacing w:before="267" w:line="184" w:lineRule="auto"/>
              <w:rPr>
                <w:sz w:val="22"/>
                <w:szCs w:val="22"/>
              </w:rPr>
            </w:pPr>
            <w:r>
              <w:rPr>
                <w:sz w:val="22"/>
                <w:szCs w:val="22"/>
              </w:rPr>
              <w:t xml:space="preserve">4</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844"/>
        </w:trPr>
        <w:tc>
          <w:tcPr>
            <w:tcW w:w="906" w:type="dxa"/>
            <w:textDirection w:val="lrTb"/>
            <w:noWrap w:val="false"/>
          </w:tcPr>
          <w:p>
            <w:pPr>
              <w:pStyle w:val="1139"/>
              <w:ind w:left="53"/>
              <w:spacing w:before="187" w:line="210" w:lineRule="auto"/>
              <w:rPr>
                <w:rFonts w:hint="eastAsia" w:eastAsia="宋体"/>
                <w:sz w:val="22"/>
                <w:szCs w:val="22"/>
                <w:lang w:eastAsia="zh-CN"/>
              </w:rPr>
            </w:pPr>
            <w:r>
              <w:rPr>
                <w:rFonts w:hint="eastAsia"/>
                <w:sz w:val="22"/>
                <w:szCs w:val="22"/>
                <w:lang w:eastAsia="zh-CN"/>
              </w:rPr>
              <w:t xml:space="preserve">合计（元）</w:t>
            </w:r>
            <w:r/>
          </w:p>
        </w:tc>
        <w:tc>
          <w:tcPr>
            <w:gridSpan w:val="7"/>
            <w:tcW w:w="8841" w:type="dxa"/>
            <w:textDirection w:val="lrTb"/>
            <w:noWrap w:val="false"/>
          </w:tcPr>
          <w:p>
            <w:pPr>
              <w:pStyle w:val="1139"/>
              <w:ind w:left="115"/>
              <w:spacing w:before="196" w:line="222" w:lineRule="auto"/>
              <w:rPr>
                <w:sz w:val="22"/>
                <w:szCs w:val="22"/>
              </w:rPr>
            </w:pPr>
            <w:r>
              <w:rPr>
                <w:spacing w:val="-5"/>
                <w:sz w:val="22"/>
                <w:szCs w:val="22"/>
              </w:rPr>
              <w:t xml:space="preserve">大写：</w:t>
            </w:r>
            <w:r>
              <w:rPr>
                <w:sz w:val="22"/>
                <w:szCs w:val="22"/>
              </w:rPr>
              <w:t xml:space="preserve">                                </w:t>
            </w:r>
            <w:r>
              <w:rPr>
                <w:spacing w:val="-5"/>
                <w:sz w:val="22"/>
                <w:szCs w:val="22"/>
              </w:rPr>
              <w:t xml:space="preserve">小写：</w:t>
            </w:r>
            <w:r/>
          </w:p>
        </w:tc>
      </w:tr>
    </w:tbl>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投标单位（必须盖公章）：</w:t>
      </w:r>
      <w:r/>
    </w:p>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联系电话（必须填写）：</w:t>
      </w:r>
      <w:r/>
    </w:p>
    <w:p>
      <w:pP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日期：     年     月     日</w:t>
      </w:r>
      <w:r/>
    </w:p>
    <w:p>
      <w:pPr>
        <w:pStyle w:val="1013"/>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注： </w:t>
      </w:r>
      <w:r/>
    </w:p>
    <w:p>
      <w:pPr>
        <w:pStyle w:val="1013"/>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1.</w:t>
      </w:r>
      <w:r>
        <w:rPr>
          <w:rFonts w:hint="eastAsia" w:ascii="宋体" w:hAnsi="宋体" w:eastAsia="宋体" w:cs="宋体"/>
          <w:bCs/>
          <w:color w:val="auto"/>
          <w:sz w:val="24"/>
          <w:szCs w:val="22"/>
        </w:rPr>
        <w:t xml:space="preserve">所有价格</w:t>
      </w:r>
      <w:r>
        <w:rPr>
          <w:rFonts w:hint="eastAsia" w:hAnsi="宋体" w:cs="宋体"/>
          <w:bCs/>
          <w:color w:val="auto"/>
          <w:sz w:val="24"/>
          <w:szCs w:val="22"/>
          <w:lang w:eastAsia="zh-CN"/>
        </w:rPr>
        <w:t xml:space="preserve">采</w:t>
      </w:r>
      <w:r>
        <w:rPr>
          <w:rFonts w:hint="eastAsia" w:ascii="宋体" w:hAnsi="宋体" w:eastAsia="宋体" w:cs="宋体"/>
          <w:bCs/>
          <w:color w:val="auto"/>
          <w:sz w:val="24"/>
          <w:szCs w:val="22"/>
          <w:lang w:val="en-US" w:eastAsia="zh-CN"/>
        </w:rPr>
        <w:t xml:space="preserve">用</w:t>
      </w:r>
      <w:r>
        <w:rPr>
          <w:rFonts w:hint="eastAsia" w:ascii="宋体" w:hAnsi="宋体" w:eastAsia="宋体" w:cs="宋体"/>
          <w:bCs/>
          <w:color w:val="auto"/>
          <w:sz w:val="24"/>
          <w:szCs w:val="22"/>
        </w:rPr>
        <w:t xml:space="preserve">人民币表示。</w:t>
      </w:r>
      <w:r/>
    </w:p>
    <w:p>
      <w:pPr>
        <w:pStyle w:val="1013"/>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2.</w:t>
      </w:r>
      <w:r>
        <w:rPr>
          <w:rFonts w:hint="eastAsia" w:ascii="宋体" w:hAnsi="宋体" w:eastAsia="宋体" w:cs="宋体"/>
          <w:bCs/>
          <w:color w:val="auto"/>
          <w:sz w:val="24"/>
          <w:szCs w:val="22"/>
        </w:rPr>
        <w:t xml:space="preserve">投标人的报价应包括人员、保险、税金、售后服务等所有费用，</w:t>
      </w:r>
      <w:r>
        <w:rPr>
          <w:rFonts w:hint="eastAsia" w:ascii="宋体" w:hAnsi="宋体" w:eastAsia="宋体" w:cs="宋体"/>
          <w:bCs/>
          <w:color w:val="auto"/>
          <w:sz w:val="24"/>
          <w:szCs w:val="22"/>
          <w:lang w:eastAsia="zh-CN"/>
        </w:rPr>
        <w:t xml:space="preserve">招标人</w:t>
      </w:r>
      <w:r>
        <w:rPr>
          <w:rFonts w:hint="eastAsia" w:ascii="宋体" w:hAnsi="宋体" w:eastAsia="宋体" w:cs="宋体"/>
          <w:bCs/>
          <w:color w:val="auto"/>
          <w:sz w:val="24"/>
          <w:szCs w:val="22"/>
        </w:rPr>
        <w:t xml:space="preserve">不再支付任何其他费用。</w:t>
      </w:r>
      <w:r/>
    </w:p>
    <w:p>
      <w:pPr>
        <w:pStyle w:val="1013"/>
        <w:keepNext w:val="0"/>
        <w:pageBreakBefore w:val="0"/>
        <w:spacing w:line="360" w:lineRule="auto"/>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3.报价必须机打，手工填写按无效标处理。</w:t>
      </w:r>
      <w:r/>
    </w:p>
    <w:p>
      <w:pPr>
        <w:pStyle w:val="1013"/>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eastAsia="zh-CN"/>
        </w:rPr>
        <w:t xml:space="preserve">4.此表不够可复制放大。</w:t>
      </w:r>
      <w:r/>
    </w:p>
    <w:p>
      <w:pPr>
        <w:pStyle w:val="1013"/>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5.投标人应按照招标文件要求填写单价与总价。</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表一：</w:t>
      </w:r>
      <w:r/>
    </w:p>
    <w:tbl>
      <w:tblPr>
        <w:tblStyle w:val="81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6"/>
        <w:gridCol w:w="2040"/>
        <w:gridCol w:w="2495"/>
      </w:tblGrid>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81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4"/>
        <w:gridCol w:w="2038"/>
        <w:gridCol w:w="2499"/>
      </w:tblGrid>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128"/>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18"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w:t>
      </w:r>
      <w:r/>
    </w:p>
    <w:tbl>
      <w:tblPr>
        <w:tblStyle w:val="81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序号</w:t>
            </w:r>
            <w:r/>
          </w:p>
        </w:tc>
        <w:tc>
          <w:tcPr>
            <w:tcW w:w="623"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姓名</w:t>
            </w:r>
            <w:r/>
          </w:p>
        </w:tc>
        <w:tc>
          <w:tcPr>
            <w:tcW w:w="534"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年龄</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学历</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专业</w:t>
            </w:r>
            <w:r/>
          </w:p>
        </w:tc>
        <w:tc>
          <w:tcPr>
            <w:tcW w:w="555"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职称</w:t>
            </w:r>
            <w:r/>
          </w:p>
        </w:tc>
        <w:tc>
          <w:tcPr>
            <w:tcW w:w="741" w:type="pct"/>
            <w:vAlign w:val="center"/>
            <w:textDirection w:val="lrTb"/>
            <w:noWrap w:val="false"/>
          </w:tcPr>
          <w:p>
            <w:pPr>
              <w:jc w:val="center"/>
              <w:spacing w:line="480" w:lineRule="exact"/>
              <w:rPr>
                <w:rFonts w:hint="eastAsia" w:ascii="宋体" w:hAnsi="宋体" w:eastAsia="宋体"/>
                <w:color w:val="auto"/>
                <w:sz w:val="24"/>
                <w:lang w:eastAsia="zh-CN"/>
              </w:rPr>
            </w:pPr>
            <w:r>
              <w:rPr>
                <w:rFonts w:hint="eastAsia" w:ascii="宋体" w:hAnsi="宋体"/>
                <w:color w:val="auto"/>
                <w:sz w:val="24"/>
              </w:rPr>
              <w:t xml:space="preserve">相关证书</w:t>
            </w:r>
            <w:r>
              <w:rPr>
                <w:rFonts w:hint="eastAsia" w:ascii="宋体" w:hAnsi="宋体"/>
                <w:color w:val="auto"/>
                <w:sz w:val="24"/>
                <w:lang w:eastAsia="zh-CN"/>
              </w:rPr>
              <w:t xml:space="preserve">（编号）</w:t>
            </w:r>
            <w:r/>
          </w:p>
        </w:tc>
        <w:tc>
          <w:tcPr>
            <w:tcW w:w="810"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139"/>
              <w:ind w:left="0"/>
              <w:jc w:val="center"/>
              <w:spacing w:line="240" w:lineRule="auto"/>
              <w:rPr>
                <w:rFonts w:ascii="宋体" w:hAnsi="宋体"/>
                <w:color w:val="auto"/>
                <w:sz w:val="28"/>
              </w:rPr>
            </w:pPr>
            <w:r>
              <w:rPr>
                <w:color w:val="auto"/>
              </w:rPr>
              <w:t xml:space="preserve">1</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139"/>
              <w:ind w:left="0"/>
              <w:jc w:val="center"/>
              <w:spacing w:line="240" w:lineRule="auto"/>
              <w:rPr>
                <w:rFonts w:ascii="宋体" w:hAnsi="宋体"/>
                <w:color w:val="auto"/>
                <w:sz w:val="28"/>
              </w:rPr>
            </w:pPr>
            <w:r>
              <w:rPr>
                <w:color w:val="auto"/>
              </w:rPr>
              <w:t xml:space="preserve">2</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139"/>
              <w:ind w:left="0"/>
              <w:jc w:val="center"/>
              <w:spacing w:line="240" w:lineRule="auto"/>
              <w:rPr>
                <w:rFonts w:ascii="宋体" w:hAnsi="宋体"/>
                <w:color w:val="auto"/>
                <w:sz w:val="28"/>
              </w:rPr>
            </w:pPr>
            <w:r>
              <w:rPr>
                <w:color w:val="auto"/>
              </w:rPr>
              <w:t xml:space="preserve">3</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39"/>
              <w:ind w:left="0"/>
              <w:jc w:val="center"/>
              <w:spacing w:line="240" w:lineRule="auto"/>
              <w:rPr>
                <w:rFonts w:ascii="宋体" w:hAnsi="宋体"/>
                <w:color w:val="auto"/>
                <w:sz w:val="28"/>
              </w:rPr>
            </w:pPr>
            <w:r>
              <w:rPr>
                <w:color w:val="auto"/>
              </w:rPr>
              <w:t xml:space="preserve">4</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39"/>
              <w:ind w:left="0"/>
              <w:jc w:val="center"/>
              <w:spacing w:line="240" w:lineRule="auto"/>
              <w:rPr>
                <w:rFonts w:ascii="宋体" w:hAnsi="宋体"/>
                <w:color w:val="auto"/>
                <w:sz w:val="28"/>
              </w:rPr>
            </w:pPr>
            <w:r>
              <w:rPr>
                <w:color w:val="auto"/>
              </w:rPr>
              <w:t xml:space="preserve">5</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39"/>
              <w:ind w:left="0"/>
              <w:jc w:val="center"/>
              <w:spacing w:line="240" w:lineRule="auto"/>
              <w:rPr>
                <w:rFonts w:ascii="宋体" w:hAnsi="宋体"/>
                <w:color w:val="auto"/>
                <w:sz w:val="28"/>
              </w:rPr>
            </w:pPr>
            <w:r>
              <w:rPr>
                <w:color w:val="auto"/>
                <w:position w:val="3"/>
              </w:rPr>
              <w:t xml:space="preserve">…</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14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39"/>
        <w:gridCol w:w="1814"/>
        <w:gridCol w:w="1947"/>
      </w:tblGrid>
      <w:tr>
        <w:trPr>
          <w:trHeight w:val="1341"/>
        </w:trPr>
        <w:tc>
          <w:tcPr>
            <w:tcW w:w="434" w:type="pct"/>
            <w:vAlign w:val="center"/>
            <w:textDirection w:val="lrTb"/>
            <w:noWrap w:val="false"/>
          </w:tcPr>
          <w:p>
            <w:pPr>
              <w:pStyle w:val="1139"/>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139"/>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139"/>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139"/>
              <w:ind w:left="0"/>
              <w:jc w:val="center"/>
              <w:spacing w:line="240" w:lineRule="auto"/>
              <w:rPr>
                <w:color w:val="auto"/>
                <w:spacing w:val="-3"/>
                <w:position w:val="5"/>
              </w:rPr>
            </w:pPr>
            <w:r>
              <w:rPr>
                <w:color w:val="auto"/>
                <w:spacing w:val="-3"/>
                <w:position w:val="5"/>
              </w:rPr>
              <w:t xml:space="preserve">合同金额</w:t>
            </w:r>
            <w:r/>
          </w:p>
          <w:p>
            <w:pPr>
              <w:pStyle w:val="1139"/>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139"/>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139"/>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139"/>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139"/>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139"/>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139"/>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139"/>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18"/>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19" w:name="_Toc13352_WPSOffice_Level1"/>
      <w:r>
        <w:rPr>
          <w:rFonts w:hint="eastAsia" w:ascii="宋体" w:hAnsi="宋体" w:eastAsia="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19"/>
      <w:r/>
      <w:r/>
    </w:p>
    <w:p>
      <w:pPr>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（一）符合《中华人民共和国政府采购法》第二十二条规定的六项条件；</w:t>
      </w:r>
      <w:r>
        <w:rPr>
          <w:rFonts w:hint="eastAsia" w:ascii="宋体" w:hAnsi="宋体" w:cs="宋体"/>
          <w:b/>
          <w:bCs/>
          <w:color w:val="auto"/>
          <w:sz w:val="24"/>
        </w:rPr>
        <w:t xml:space="preserve">（承诺制，详见投标函中第八条</w:t>
      </w:r>
      <w:r>
        <w:rPr>
          <w:rFonts w:hint="eastAsia" w:ascii="宋体" w:hAnsi="宋体" w:cs="宋体"/>
          <w:b/>
          <w:bCs/>
          <w:color w:val="auto"/>
          <w:sz w:val="24"/>
          <w:lang w:eastAsia="zh-CN"/>
        </w:rPr>
        <w:t xml:space="preserve">或示范格式</w:t>
      </w:r>
      <w:r>
        <w:rPr>
          <w:rFonts w:hint="eastAsia" w:ascii="宋体" w:hAnsi="宋体" w:cs="宋体"/>
          <w:b/>
          <w:bCs/>
          <w:color w:val="auto"/>
          <w:sz w:val="24"/>
        </w:rPr>
        <w:t xml:space="preserve">）</w:t>
      </w:r>
      <w:r/>
    </w:p>
    <w:p>
      <w:pPr>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（二）</w:t>
      </w:r>
      <w:r>
        <w:rPr>
          <w:rFonts w:hint="eastAsia" w:ascii="宋体" w:hAnsi="宋体" w:eastAsia="宋体" w:cs="宋体"/>
          <w:color w:val="auto"/>
          <w:sz w:val="24"/>
          <w:lang w:eastAsia="zh-CN"/>
        </w:rPr>
        <w:t xml:space="preserve">落实政府采购政策需满足的资格要求:</w:t>
      </w:r>
      <w:r>
        <w:rPr>
          <w:rFonts w:hint="eastAsia" w:ascii="宋体" w:hAnsi="宋体" w:eastAsia="宋体" w:cs="宋体"/>
          <w:b/>
          <w:bCs/>
          <w:color w:val="auto"/>
          <w:sz w:val="24"/>
        </w:rPr>
        <w:t xml:space="preserve">（非专门面向中小企业或者预留份额的采购项目，本项无需提供）</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本项目按照以下第</w:t>
      </w:r>
      <w:r>
        <w:rPr>
          <w:rFonts w:hint="eastAsia" w:ascii="宋体" w:hAnsi="宋体" w:eastAsia="宋体" w:cs="宋体"/>
          <w:color w:val="auto"/>
          <w:sz w:val="24"/>
          <w:u w:val="single"/>
          <w:lang w:eastAsia="zh-CN"/>
        </w:rPr>
        <w:t xml:space="preserve">3</w:t>
      </w:r>
      <w:r>
        <w:rPr>
          <w:rFonts w:hint="eastAsia" w:ascii="宋体" w:hAnsi="宋体" w:eastAsia="宋体" w:cs="宋体"/>
          <w:color w:val="auto"/>
          <w:sz w:val="24"/>
        </w:rPr>
        <w:t xml:space="preserve">种方式落实政府采购促进中小企业发展的要求:</w:t>
      </w:r>
      <w:r>
        <w:rPr>
          <w:rFonts w:hint="eastAsia" w:ascii="宋体" w:hAnsi="宋体" w:eastAsia="宋体" w:cs="宋体"/>
          <w:color w:val="auto"/>
          <w:sz w:val="24"/>
        </w:rPr>
        <w:br/>
      </w:r>
      <w:r>
        <w:rPr>
          <w:rFonts w:hint="eastAsia" w:ascii="宋体" w:hAnsi="宋体" w:eastAsia="宋体" w:cs="宋体"/>
          <w:color w:val="auto"/>
          <w:sz w:val="24"/>
        </w:rPr>
        <w:t xml:space="preserve">   1、本项目为专门面向中小企业采购的项目。</w:t>
      </w:r>
      <w:r>
        <w:rPr>
          <w:rFonts w:hint="eastAsia" w:ascii="宋体" w:hAnsi="宋体" w:eastAsia="宋体" w:cs="宋体"/>
          <w:color w:val="auto"/>
          <w:sz w:val="24"/>
        </w:rPr>
        <w:br/>
      </w:r>
      <w:r>
        <w:rPr>
          <w:rFonts w:hint="eastAsia" w:ascii="宋体" w:hAnsi="宋体" w:eastAsia="宋体" w:cs="宋体"/>
          <w:color w:val="auto"/>
          <w:sz w:val="24"/>
        </w:rPr>
        <w:t xml:space="preserve">   2、本项目通过以下第()种方式预留部分采购份额采购中小企业服务:</w:t>
      </w:r>
      <w:r>
        <w:rPr>
          <w:rFonts w:hint="eastAsia" w:ascii="宋体" w:hAnsi="宋体" w:eastAsia="宋体" w:cs="宋体"/>
          <w:color w:val="auto"/>
          <w:sz w:val="24"/>
        </w:rPr>
        <w:br/>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eastAsia="宋体" w:cs="宋体"/>
          <w:color w:val="auto"/>
          <w:sz w:val="24"/>
        </w:rPr>
        <w:br/>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(2)本项目要求供应商进行合同分包，中小企业合同金额应当达到的比例为_%，其中小微企业所占比例应为_%(两项比例均应符合《政府采购促进中小企业发展管理办法》第八条规定)。</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3、本项目为非预留份额的采购项目，对小微企业报价给予扣除，用扣除后的价格参加评审，具体详见第三章评标标准。</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注:监狱企业、残疾人福利性单位视同小微企业。</w:t>
      </w:r>
      <w:r/>
    </w:p>
    <w:p>
      <w:pPr>
        <w:ind w:firstLine="48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本项目采购标的对应的中小企业划分标准所属行业为</w:t>
      </w:r>
      <w:r>
        <w:rPr>
          <w:rFonts w:hint="eastAsia" w:ascii="宋体" w:hAnsi="宋体" w:eastAsia="宋体" w:cs="宋体"/>
          <w:color w:val="auto"/>
          <w:sz w:val="24"/>
          <w:u w:val="single"/>
          <w:lang w:eastAsia="zh-CN"/>
        </w:rPr>
        <w:t xml:space="preserve"> 工业  </w:t>
      </w:r>
      <w:r>
        <w:rPr>
          <w:rFonts w:hint="eastAsia" w:ascii="宋体" w:hAnsi="宋体" w:eastAsia="宋体" w:cs="宋体"/>
          <w:color w:val="auto"/>
          <w:sz w:val="24"/>
          <w:lang w:eastAsia="zh-CN"/>
        </w:rPr>
        <w:t xml:space="preserve">。</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cs="宋体"/>
          <w:color w:val="auto"/>
          <w:sz w:val="24"/>
        </w:rPr>
        <w:t xml:space="preserve">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cs="宋体"/>
          <w:b w:val="0"/>
          <w:bCs w:val="0"/>
          <w:color w:val="auto"/>
          <w:sz w:val="24"/>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不得参加本项目的采购活动</w:t>
      </w:r>
      <w:r>
        <w:rPr>
          <w:rFonts w:hint="eastAsia" w:ascii="宋体" w:hAnsi="宋体" w:cs="宋体"/>
          <w:color w:val="auto"/>
          <w:sz w:val="24"/>
          <w:lang w:eastAsia="zh-CN"/>
        </w:rPr>
        <w:t xml:space="preserve">”。</w:t>
      </w:r>
      <w:r/>
    </w:p>
    <w:p>
      <w:pPr>
        <w:pStyle w:val="1018"/>
        <w:ind w:firstLine="48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cs="宋体"/>
          <w:color w:val="auto"/>
          <w:sz w:val="24"/>
          <w:szCs w:val="24"/>
        </w:rPr>
        <w:t xml:space="preserve">（代理机构）通过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信用中国</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网站（www.creditchina.gov.cn）、</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中国政府采购网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投标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提供下列之一</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法定代表人参加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的，提供法定代表人资格证明（格式按照示范格式一要求）和法定代表人有效身份证</w:t>
      </w:r>
      <w:r>
        <w:rPr>
          <w:rFonts w:hint="eastAsia" w:ascii="宋体" w:hAnsi="宋体" w:eastAsia="宋体" w:cs="宋体"/>
          <w:b/>
          <w:bCs/>
          <w:color w:val="auto"/>
          <w:sz w:val="24"/>
        </w:rPr>
        <w:t xml:space="preserve">（身份证原件扫描件加盖公章）</w:t>
      </w:r>
      <w:r>
        <w:rPr>
          <w:rFonts w:hint="eastAsia" w:ascii="宋体" w:hAnsi="宋体" w:eastAsia="宋体" w:cs="宋体"/>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授权委托人参加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的，提供授权委托书（格式按照示范格式二要求）和受托人有效身份证</w:t>
      </w:r>
      <w:r>
        <w:rPr>
          <w:rFonts w:hint="eastAsia" w:ascii="宋体" w:hAnsi="宋体" w:eastAsia="宋体" w:cs="宋体"/>
          <w:b/>
          <w:bCs/>
          <w:color w:val="auto"/>
          <w:sz w:val="24"/>
        </w:rPr>
        <w:t xml:space="preserve">（身份证原件扫描件加盖公章）</w:t>
      </w:r>
      <w:r>
        <w:rPr>
          <w:rFonts w:hint="eastAsia" w:ascii="宋体" w:hAnsi="宋体" w:eastAsia="宋体" w:cs="宋体"/>
          <w:color w:val="auto"/>
          <w:sz w:val="24"/>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cs="宋体"/>
          <w:color w:val="auto"/>
          <w:sz w:val="24"/>
        </w:rPr>
        <w:t xml:space="preserve">本次项目不接受联合体</w:t>
      </w:r>
      <w:r>
        <w:rPr>
          <w:rFonts w:hint="eastAsia" w:ascii="宋体" w:hAnsi="宋体" w:cs="宋体"/>
          <w:color w:val="auto"/>
          <w:sz w:val="24"/>
          <w:lang w:eastAsia="zh-CN"/>
        </w:rPr>
        <w:t xml:space="preserve">投标人参加投标</w:t>
      </w:r>
      <w:r>
        <w:rPr>
          <w:rFonts w:hint="eastAsia" w:ascii="宋体" w:hAnsi="宋体" w:cs="宋体"/>
          <w:b/>
          <w:bCs/>
          <w:color w:val="auto"/>
          <w:sz w:val="24"/>
        </w:rPr>
        <w:t xml:space="preserve">（不是联合体即可）</w:t>
      </w:r>
      <w:r>
        <w:rPr>
          <w:rFonts w:hint="eastAsia" w:ascii="宋体" w:hAnsi="宋体" w:cs="宋体"/>
          <w:color w:val="auto"/>
          <w:sz w:val="24"/>
        </w:rPr>
        <w:t xml:space="preserve">。</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20"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20"/>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18"/>
        </w:numPr>
        <w:jc w:val="left"/>
        <w:keepNext w:val="0"/>
        <w:pageBreakBefore w:val="0"/>
        <w:spacing w:line="360" w:lineRule="auto"/>
        <w:widowControl/>
        <w:rPr>
          <w:rFonts w:hint="eastAsia" w:ascii="宋体" w:hAnsi="宋体" w:eastAsia="宋体" w:cs="宋体"/>
          <w:b/>
          <w:bCs/>
          <w:color w:val="auto"/>
          <w:sz w:val="28"/>
          <w:szCs w:val="28"/>
        </w:rPr>
      </w:pPr>
      <w:r/>
      <w:bookmarkStart w:id="21"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21"/>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22"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22"/>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23"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23"/>
      <w:r/>
      <w:r/>
    </w:p>
    <w:p>
      <w:pPr>
        <w:keepNext w:val="0"/>
        <w:pageBreakBefore w:val="0"/>
        <w:spacing w:line="360" w:lineRule="auto"/>
        <w:rPr>
          <w:rFonts w:hint="eastAsia" w:ascii="宋体" w:hAnsi="宋体" w:eastAsia="宋体" w:cs="宋体"/>
          <w:b/>
          <w:bCs/>
          <w:color w:val="auto"/>
          <w:sz w:val="36"/>
          <w:szCs w:val="36"/>
        </w:rPr>
      </w:pPr>
      <w:r/>
      <w:bookmarkStart w:id="24" w:name="_Toc29021_WPSOffice_Level1"/>
      <w:r>
        <w:rPr>
          <w:rFonts w:hint="eastAsia" w:ascii="宋体" w:hAnsi="宋体" w:eastAsia="宋体" w:cs="宋体"/>
          <w:b w:val="0"/>
          <w:bCs/>
          <w:color w:val="auto"/>
          <w:sz w:val="28"/>
          <w:szCs w:val="28"/>
        </w:rPr>
        <w:t xml:space="preserve">示范格式一</w:t>
      </w:r>
      <w:bookmarkEnd w:id="24"/>
      <w:r/>
      <w:r/>
    </w:p>
    <w:p>
      <w:pPr>
        <w:jc w:val="center"/>
        <w:keepNext w:val="0"/>
        <w:pageBreakBefore w:val="0"/>
        <w:spacing w:line="360" w:lineRule="auto"/>
        <w:rPr>
          <w:rFonts w:hint="eastAsia" w:ascii="宋体" w:hAnsi="宋体" w:eastAsia="宋体" w:cs="宋体"/>
          <w:color w:val="auto"/>
          <w:sz w:val="24"/>
          <w:szCs w:val="24"/>
          <w:lang w:val="zh-CN"/>
        </w:rPr>
      </w:pPr>
      <w:r/>
      <w:bookmarkStart w:id="25" w:name="_Toc10072_WPSOffice_Level1"/>
      <w:r>
        <w:rPr>
          <w:rFonts w:hint="eastAsia" w:ascii="宋体" w:hAnsi="宋体" w:eastAsia="宋体" w:cs="宋体"/>
          <w:b/>
          <w:bCs/>
          <w:color w:val="auto"/>
          <w:sz w:val="32"/>
          <w:szCs w:val="32"/>
        </w:rPr>
        <w:t xml:space="preserve">法定代表人资格证明</w:t>
      </w:r>
      <w:bookmarkEnd w:id="25"/>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13"/>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013"/>
        <w:keepNext w:val="0"/>
        <w:pageBreakBefore w:val="0"/>
        <w:spacing w:line="360" w:lineRule="auto"/>
        <w:rPr>
          <w:rFonts w:hint="eastAsia" w:ascii="宋体" w:hAnsi="宋体" w:eastAsia="宋体" w:cs="宋体"/>
          <w:b w:val="0"/>
          <w:bCs/>
          <w:color w:val="auto"/>
          <w:sz w:val="28"/>
          <w:szCs w:val="28"/>
          <w:u w:val="single"/>
        </w:rPr>
      </w:pPr>
      <w:r/>
      <w:bookmarkStart w:id="26"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26"/>
      <w:r/>
      <w:r/>
    </w:p>
    <w:p>
      <w:pPr>
        <w:jc w:val="center"/>
        <w:keepNext w:val="0"/>
        <w:pageBreakBefore w:val="0"/>
        <w:spacing w:line="360" w:lineRule="auto"/>
        <w:rPr>
          <w:rFonts w:hint="eastAsia" w:ascii="宋体" w:hAnsi="宋体" w:eastAsia="宋体" w:cs="宋体"/>
          <w:b/>
          <w:bCs/>
          <w:color w:val="auto"/>
          <w:sz w:val="32"/>
          <w:szCs w:val="32"/>
        </w:rPr>
      </w:pPr>
      <w:r/>
      <w:bookmarkStart w:id="27" w:name="_Toc5342_WPSOffice_Level1"/>
      <w:r>
        <w:rPr>
          <w:rFonts w:hint="eastAsia" w:ascii="宋体" w:hAnsi="宋体" w:eastAsia="宋体" w:cs="宋体"/>
          <w:b/>
          <w:bCs/>
          <w:color w:val="auto"/>
          <w:sz w:val="32"/>
          <w:szCs w:val="32"/>
        </w:rPr>
        <w:t xml:space="preserve">授权委托书</w:t>
      </w:r>
      <w:bookmarkEnd w:id="27"/>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28"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28"/>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中小企业声明函(货物)</w:t>
      </w:r>
      <w:r/>
    </w:p>
    <w:p>
      <w:pPr>
        <w:pStyle w:val="821"/>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u w:val="single"/>
        </w:rPr>
        <w:t xml:space="preserve">(项目名称)</w:t>
      </w:r>
      <w:r>
        <w:rPr>
          <w:rFonts w:hint="eastAsia" w:ascii="宋体" w:hAnsi="宋体" w:eastAsia="宋体" w:cs="宋体"/>
          <w:spacing w:val="-5"/>
          <w:sz w:val="24"/>
          <w:szCs w:val="24"/>
        </w:rPr>
        <w:t xml:space="preserve">采购活动,提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821"/>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821"/>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821"/>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821"/>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821"/>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rPr>
        <w:t xml:space="preserve">......</w:t>
      </w:r>
      <w:r/>
    </w:p>
    <w:p>
      <w:pPr>
        <w:pStyle w:val="821"/>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以上企业，不属于大企业的分支机构,不存在控股股东为大企业的情形,也不存在与大</w:t>
      </w:r>
      <w:r/>
    </w:p>
    <w:p>
      <w:pPr>
        <w:pStyle w:val="821"/>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821"/>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假,将依法承担相应责任。</w:t>
      </w:r>
      <w:r/>
    </w:p>
    <w:p>
      <w:pPr>
        <w:pStyle w:val="1005"/>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5"/>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5"/>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企业名称(盖章)</w:t>
      </w:r>
      <w:r/>
    </w:p>
    <w:p>
      <w:pPr>
        <w:pStyle w:val="1005"/>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p>
    <w:p>
      <w:pPr>
        <w:pStyle w:val="1005"/>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5"/>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注：1、从业人员、营业收入、资产总额填报上一年度数据,无上一年度数据的新成立企业可不填报；</w:t>
      </w:r>
      <w:r/>
    </w:p>
    <w:p>
      <w:pPr>
        <w:pStyle w:val="1005"/>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2、非小企业不须提供此函。</w:t>
      </w:r>
      <w:r/>
    </w:p>
    <w:p>
      <w:pPr>
        <w:spacing w:line="219" w:lineRule="auto"/>
        <w:rPr>
          <w:sz w:val="24"/>
          <w:szCs w:val="24"/>
        </w:rPr>
        <w:sectPr>
          <w:footerReference w:type="default" r:id="rId11"/>
          <w:footnotePr/>
          <w:endnotePr/>
          <w:type w:val="nextPage"/>
          <w:pgSz w:w="11911" w:h="16840" w:orient="portrait"/>
          <w:pgMar w:top="1300" w:right="1084" w:bottom="1254"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1005"/>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1005"/>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05"/>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1005"/>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履约保证金退还申请</w:t>
      </w:r>
      <w:r/>
    </w:p>
    <w:p>
      <w:pPr>
        <w:pStyle w:val="1005"/>
        <w:ind w:firstLine="529"/>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05"/>
        <w:ind w:firstLine="529"/>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4"/>
          <w:szCs w:val="24"/>
        </w:rPr>
        <w:t xml:space="preserve">我单位中标了贵</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组织实施的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rPr>
        <w:t xml:space="preserve">。目前，我单位已按招标文件规定履行完相关义务，符合保证金退还的条件，现向你</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申请退还我单位</w:t>
      </w:r>
      <w:r>
        <w:rPr>
          <w:rFonts w:hint="eastAsia" w:ascii="宋体" w:hAnsi="宋体" w:eastAsia="宋体" w:cs="宋体"/>
          <w:color w:val="auto"/>
          <w:sz w:val="24"/>
          <w:szCs w:val="24"/>
          <w:lang w:val="en-US" w:eastAsia="zh-CN"/>
        </w:rPr>
        <w:t xml:space="preserve">缴纳</w:t>
      </w:r>
      <w:r>
        <w:rPr>
          <w:rFonts w:hint="eastAsia" w:ascii="宋体" w:hAnsi="宋体" w:eastAsia="宋体" w:cs="宋体"/>
          <w:color w:val="auto"/>
          <w:sz w:val="24"/>
          <w:szCs w:val="24"/>
        </w:rPr>
        <w:t xml:space="preserve">的本项目履约保证金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w:t>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eastAsia="宋体" w:cs="宋体"/>
          <w:color w:val="auto"/>
          <w:sz w:val="24"/>
          <w:szCs w:val="24"/>
        </w:rPr>
        <w:t xml:space="preserve">确认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单位公</w:t>
      </w:r>
      <w:r>
        <w:rPr>
          <w:rFonts w:hint="eastAsia" w:ascii="宋体" w:hAnsi="宋体" w:eastAsia="宋体" w:cs="宋体"/>
          <w:color w:val="auto"/>
          <w:sz w:val="24"/>
          <w:szCs w:val="24"/>
        </w:rPr>
        <w:t xml:space="preserve">章）           申请单位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单位公</w:t>
      </w:r>
      <w:r>
        <w:rPr>
          <w:rFonts w:hint="eastAsia" w:ascii="宋体" w:hAnsi="宋体" w:eastAsia="宋体" w:cs="宋体"/>
          <w:color w:val="auto"/>
          <w:sz w:val="24"/>
          <w:szCs w:val="24"/>
        </w:rPr>
        <w:t xml:space="preserve">章）</w:t>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联系人</w:t>
      </w:r>
      <w:r>
        <w:rPr>
          <w:rFonts w:hint="eastAsia" w:ascii="宋体" w:hAnsi="宋体" w:eastAsia="宋体" w:cs="宋体"/>
          <w:color w:val="auto"/>
          <w:sz w:val="24"/>
          <w:szCs w:val="24"/>
          <w:lang w:eastAsia="zh-CN"/>
        </w:rPr>
        <w:t xml:space="preserve">：</w:t>
      </w:r>
      <w:r/>
    </w:p>
    <w:p>
      <w:pPr>
        <w:pStyle w:val="1005"/>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联系方式（手机）</w:t>
      </w:r>
      <w:r>
        <w:rPr>
          <w:rFonts w:hint="eastAsia" w:ascii="宋体" w:hAnsi="宋体" w:eastAsia="宋体" w:cs="宋体"/>
          <w:color w:val="auto"/>
          <w:sz w:val="24"/>
          <w:szCs w:val="24"/>
          <w:lang w:eastAsia="zh-CN"/>
        </w:rPr>
        <w:t xml:space="preserve">：</w:t>
      </w:r>
      <w:r/>
    </w:p>
    <w:p>
      <w:pPr>
        <w:pStyle w:val="1005"/>
        <w:ind w:left="0" w:firstLine="480"/>
        <w:keepLines w:val="0"/>
        <w:keepNext w:val="0"/>
        <w:pageBreakBefore w:val="0"/>
        <w:spacing w:line="360" w:lineRule="auto"/>
        <w:widowControl w:val="off"/>
        <w:rPr>
          <w:rFonts w:hint="eastAsia" w:ascii="仿宋" w:hAnsi="仿宋" w:eastAsia="仿宋"/>
          <w:color w:val="auto"/>
          <w:sz w:val="28"/>
          <w:szCs w:val="28"/>
          <w:lang w:eastAsia="zh-CN"/>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开户行及账号</w:t>
      </w:r>
      <w:r>
        <w:rPr>
          <w:rFonts w:hint="eastAsia" w:ascii="宋体" w:hAnsi="宋体" w:eastAsia="宋体" w:cs="宋体"/>
          <w:color w:val="auto"/>
          <w:sz w:val="24"/>
          <w:szCs w:val="24"/>
          <w:lang w:eastAsia="zh-CN"/>
        </w:rPr>
        <w:t xml:space="preserve">：</w:t>
      </w:r>
      <w:r/>
    </w:p>
    <w:p>
      <w:pPr>
        <w:rPr>
          <w:rFonts w:hint="eastAsia" w:ascii="宋体" w:hAnsi="宋体" w:eastAsia="宋体" w:cs="宋体"/>
          <w:b/>
          <w:color w:val="auto"/>
          <w:sz w:val="24"/>
          <w:lang w:eastAsia="zh-CN"/>
        </w:rPr>
      </w:pPr>
      <w:r>
        <w:rPr>
          <w:rFonts w:hint="eastAsia" w:ascii="宋体" w:hAnsi="宋体" w:eastAsia="宋体" w:cs="宋体"/>
          <w:b/>
          <w:color w:val="auto"/>
          <w:sz w:val="24"/>
          <w:lang w:eastAsia="zh-CN"/>
        </w:rPr>
        <w:br w:type="page" w:clear="all"/>
      </w:r>
      <w:r/>
    </w:p>
    <w:p>
      <w:pPr>
        <w:pStyle w:val="847"/>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847"/>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技术规格响应偏离表</w:t>
      </w:r>
      <w:r/>
    </w:p>
    <w:tbl>
      <w:tblPr>
        <w:tblStyle w:val="1140"/>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139"/>
              <w:ind w:left="304"/>
              <w:spacing w:before="159" w:line="222" w:lineRule="auto"/>
            </w:pPr>
            <w:r>
              <w:rPr>
                <w:spacing w:val="-5"/>
              </w:rPr>
              <w:t xml:space="preserve">序号</w:t>
            </w:r>
            <w:r/>
          </w:p>
        </w:tc>
        <w:tc>
          <w:tcPr>
            <w:tcW w:w="3418" w:type="dxa"/>
            <w:textDirection w:val="lrTb"/>
            <w:noWrap w:val="false"/>
          </w:tcPr>
          <w:p>
            <w:pPr>
              <w:pStyle w:val="1139"/>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139"/>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139"/>
              <w:ind w:left="253"/>
              <w:spacing w:before="80"/>
            </w:pPr>
            <w:r>
              <w:rPr>
                <w:spacing w:val="-5"/>
              </w:rPr>
              <w:t xml:space="preserve">偏离</w:t>
            </w:r>
            <w:r/>
          </w:p>
          <w:p>
            <w:pPr>
              <w:pStyle w:val="1139"/>
              <w:ind w:left="252"/>
              <w:spacing w:before="1" w:line="220" w:lineRule="auto"/>
            </w:pPr>
            <w:r>
              <w:rPr>
                <w:spacing w:val="-4"/>
              </w:rPr>
              <w:t xml:space="preserve">情况</w:t>
            </w:r>
            <w:r/>
          </w:p>
        </w:tc>
        <w:tc>
          <w:tcPr>
            <w:tcW w:w="1084" w:type="dxa"/>
            <w:textDirection w:val="lrTb"/>
            <w:noWrap w:val="false"/>
          </w:tcPr>
          <w:p>
            <w:pPr>
              <w:pStyle w:val="1139"/>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821"/>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   （加盖公章）     </w:t>
      </w:r>
      <w:r/>
    </w:p>
    <w:p>
      <w:pPr>
        <w:pStyle w:val="821"/>
        <w:ind w:left="318"/>
        <w:spacing w:before="120" w:line="221"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注:（1）此表为表样，行数可自行添加，但表式不变。</w:t>
      </w:r>
      <w:r/>
    </w:p>
    <w:p>
      <w:pPr>
        <w:pStyle w:val="821"/>
        <w:ind w:left="183" w:right="619" w:firstLine="562"/>
        <w:spacing w:before="105" w:line="256"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pStyle w:val="821"/>
        <w:ind w:left="180" w:right="196" w:firstLine="566"/>
        <w:spacing w:before="101" w:line="268"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p>
    <w:p>
      <w:pPr>
        <w:spacing w:line="440" w:lineRule="exact"/>
        <w:rPr>
          <w:rFonts w:hint="eastAsia"/>
          <w:lang w:eastAsia="zh-CN"/>
        </w:rPr>
      </w:pPr>
      <w:r>
        <w:rPr>
          <w:rFonts w:hint="eastAsia"/>
          <w:lang w:eastAsia="zh-CN"/>
        </w:rPr>
      </w:r>
      <w:r/>
    </w:p>
    <w:sectPr>
      <w:footerReference w:type="default" r:id="rId12"/>
      <w:footerReference w:type="even"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仿宋简体">
    <w:panose1 w:val="020B0503020202020204"/>
  </w:font>
  <w:font w:name="Helv">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ambria">
    <w:panose1 w:val="02040503050406030204"/>
  </w:font>
  <w:font w:name="Adobe 仿宋 Std R">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22</w:t>
    </w:r>
    <w:r>
      <w:fldChar w:fldCharType="end"/>
    </w:r>
    <w:r/>
  </w:p>
  <w:p>
    <w:pPr>
      <w:pStyle w:val="1018"/>
      <w:tabs>
        <w:tab w:val="left" w:pos="7595" w:leader="none"/>
      </w:tabs>
      <w:rPr>
        <w:rFonts w:hint="eastAsia" w:eastAsia="宋体"/>
        <w:lang w:eastAsia="zh-CN"/>
      </w:rPr>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32"/>
      </w:rPr>
      <w:framePr w:wrap="around" w:vAnchor="text" w:hAnchor="margin" w:xAlign="center" w:y="1"/>
    </w:pPr>
    <w:r>
      <w:fldChar w:fldCharType="begin"/>
    </w:r>
    <w:r>
      <w:rPr>
        <w:rStyle w:val="1032"/>
      </w:rPr>
      <w:instrText xml:space="preserve">PAGE  </w:instrTex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11"/>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6">
    <w:multiLevelType w:val="hybridMultilevel"/>
    <w:lvl w:ilvl="0">
      <w:start w:val="1"/>
      <w:numFmt w:val="decimal"/>
      <w:pStyle w:val="99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9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1000"/>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5"/>
  </w:num>
  <w:num w:numId="3">
    <w:abstractNumId w:val="5"/>
  </w:num>
  <w:num w:numId="4">
    <w:abstractNumId w:val="3"/>
  </w:num>
  <w:num w:numId="5">
    <w:abstractNumId w:val="0"/>
  </w:num>
  <w:num w:numId="6">
    <w:abstractNumId w:val="1"/>
  </w:num>
  <w:num w:numId="7">
    <w:abstractNumId w:val="14"/>
  </w:num>
  <w:num w:numId="8">
    <w:abstractNumId w:val="16"/>
  </w:num>
  <w:num w:numId="9">
    <w:abstractNumId w:val="7"/>
  </w:num>
  <w:num w:numId="10">
    <w:abstractNumId w:val="10"/>
  </w:num>
  <w:num w:numId="11">
    <w:abstractNumId w:val="8"/>
  </w:num>
  <w:num w:numId="12">
    <w:abstractNumId w:val="11"/>
  </w:num>
  <w:num w:numId="13">
    <w:abstractNumId w:val="9"/>
  </w:num>
  <w:num w:numId="14">
    <w:abstractNumId w:val="13"/>
  </w:num>
  <w:num w:numId="15">
    <w:abstractNumId w:val="12"/>
  </w:num>
  <w:num w:numId="16">
    <w:abstractNumId w:val="17"/>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link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name w:val="Heading 1"/>
    <w:basedOn w:val="806"/>
    <w:next w:val="806"/>
    <w:link w:val="850"/>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51"/>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52"/>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18"/>
    <w:link w:val="853"/>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4"/>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55"/>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57"/>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58"/>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uiPriority w:val="0"/>
    <w:qFormat/>
    <w:pPr>
      <w:ind w:firstLine="420"/>
    </w:pPr>
    <w:rPr>
      <w:szCs w:val="20"/>
    </w:rPr>
  </w:style>
  <w:style w:type="paragraph" w:styleId="819">
    <w:name w:val="toc 7"/>
    <w:basedOn w:val="806"/>
    <w:next w:val="806"/>
    <w:uiPriority w:val="39"/>
    <w:unhideWhenUsed/>
    <w:qFormat/>
    <w:pPr>
      <w:ind w:left="1701" w:right="0" w:firstLine="0"/>
      <w:spacing w:after="57"/>
    </w:pPr>
  </w:style>
  <w:style w:type="paragraph" w:styleId="820">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Body Text"/>
    <w:basedOn w:val="806"/>
    <w:uiPriority w:val="1"/>
    <w:qFormat/>
    <w:rPr>
      <w:rFonts w:ascii="楷体_GB2312" w:hAnsi="Arial" w:eastAsia="楷体_GB2312"/>
      <w:sz w:val="28"/>
      <w:szCs w:val="20"/>
    </w:rPr>
  </w:style>
  <w:style w:type="paragraph" w:styleId="822">
    <w:name w:val="Body Text Indent"/>
    <w:basedOn w:val="806"/>
    <w:next w:val="823"/>
    <w:uiPriority w:val="0"/>
    <w:qFormat/>
    <w:pPr>
      <w:ind w:firstLine="645"/>
    </w:pPr>
    <w:rPr>
      <w:rFonts w:ascii="楷体_GB2312" w:eastAsia="楷体_GB2312"/>
      <w:sz w:val="32"/>
      <w:szCs w:val="20"/>
    </w:rPr>
  </w:style>
  <w:style w:type="paragraph" w:styleId="823">
    <w:name w:val="envelope return"/>
    <w:basedOn w:val="806"/>
    <w:uiPriority w:val="0"/>
    <w:qFormat/>
    <w:rPr>
      <w:rFonts w:ascii="Arial" w:hAnsi="Arial" w:eastAsia="宋体" w:cs="Times New Roman"/>
    </w:rPr>
  </w:style>
  <w:style w:type="paragraph" w:styleId="824">
    <w:name w:val="toc 5"/>
    <w:basedOn w:val="806"/>
    <w:next w:val="806"/>
    <w:uiPriority w:val="39"/>
    <w:unhideWhenUsed/>
    <w:qFormat/>
    <w:pPr>
      <w:ind w:left="1134" w:right="0" w:firstLine="0"/>
      <w:spacing w:after="57"/>
    </w:pPr>
  </w:style>
  <w:style w:type="paragraph" w:styleId="825">
    <w:name w:val="toc 3"/>
    <w:basedOn w:val="806"/>
    <w:next w:val="806"/>
    <w:uiPriority w:val="39"/>
    <w:unhideWhenUsed/>
    <w:qFormat/>
    <w:pPr>
      <w:ind w:left="567" w:right="0" w:firstLine="0"/>
      <w:spacing w:after="57"/>
    </w:pPr>
  </w:style>
  <w:style w:type="paragraph" w:styleId="826">
    <w:name w:val="Plain Text"/>
    <w:basedOn w:val="806"/>
    <w:uiPriority w:val="0"/>
    <w:qFormat/>
    <w:rPr>
      <w:rFonts w:ascii="宋体" w:hAnsi="Courier New"/>
      <w:szCs w:val="20"/>
    </w:rPr>
  </w:style>
  <w:style w:type="paragraph" w:styleId="827">
    <w:name w:val="toc 8"/>
    <w:basedOn w:val="806"/>
    <w:next w:val="806"/>
    <w:uiPriority w:val="39"/>
    <w:unhideWhenUsed/>
    <w:qFormat/>
    <w:pPr>
      <w:ind w:left="1984" w:right="0" w:firstLine="0"/>
      <w:spacing w:after="57"/>
    </w:pPr>
  </w:style>
  <w:style w:type="paragraph" w:styleId="828">
    <w:name w:val="endnote text"/>
    <w:basedOn w:val="806"/>
    <w:link w:val="996"/>
    <w:uiPriority w:val="99"/>
    <w:semiHidden/>
    <w:unhideWhenUsed/>
    <w:qFormat/>
    <w:pPr>
      <w:spacing w:after="0" w:line="240" w:lineRule="auto"/>
    </w:pPr>
    <w:rPr>
      <w:sz w:val="20"/>
    </w:rPr>
  </w:style>
  <w:style w:type="paragraph" w:styleId="829">
    <w:name w:val="Footer"/>
    <w:basedOn w:val="806"/>
    <w:link w:val="869"/>
    <w:uiPriority w:val="99"/>
    <w:unhideWhenUsed/>
    <w:qFormat/>
    <w:pPr>
      <w:spacing w:after="0" w:line="240" w:lineRule="auto"/>
      <w:tabs>
        <w:tab w:val="center" w:pos="7143" w:leader="none"/>
        <w:tab w:val="right" w:pos="14287" w:leader="none"/>
      </w:tabs>
    </w:pPr>
  </w:style>
  <w:style w:type="paragraph" w:styleId="830">
    <w:name w:val="Header"/>
    <w:basedOn w:val="806"/>
    <w:link w:val="867"/>
    <w:uiPriority w:val="99"/>
    <w:unhideWhenUsed/>
    <w:qFormat/>
    <w:pPr>
      <w:spacing w:after="0" w:line="240" w:lineRule="auto"/>
      <w:tabs>
        <w:tab w:val="center" w:pos="7143" w:leader="none"/>
        <w:tab w:val="right" w:pos="14287" w:leader="none"/>
      </w:tabs>
    </w:pPr>
  </w:style>
  <w:style w:type="paragraph" w:styleId="831">
    <w:name w:val="toc 1"/>
    <w:basedOn w:val="806"/>
    <w:next w:val="806"/>
    <w:uiPriority w:val="39"/>
    <w:unhideWhenUsed/>
    <w:qFormat/>
    <w:pPr>
      <w:ind w:left="0" w:right="0" w:firstLine="0"/>
      <w:spacing w:after="57"/>
    </w:pPr>
  </w:style>
  <w:style w:type="paragraph" w:styleId="832">
    <w:name w:val="toc 4"/>
    <w:basedOn w:val="806"/>
    <w:next w:val="806"/>
    <w:uiPriority w:val="39"/>
    <w:unhideWhenUsed/>
    <w:qFormat/>
    <w:pPr>
      <w:ind w:left="850" w:right="0" w:firstLine="0"/>
      <w:spacing w:after="57"/>
    </w:pPr>
  </w:style>
  <w:style w:type="paragraph" w:styleId="833">
    <w:name w:val="Subtitle"/>
    <w:basedOn w:val="806"/>
    <w:next w:val="806"/>
    <w:link w:val="862"/>
    <w:uiPriority w:val="11"/>
    <w:qFormat/>
    <w:pPr>
      <w:spacing w:before="200" w:after="200"/>
    </w:pPr>
    <w:rPr>
      <w:sz w:val="24"/>
      <w:szCs w:val="24"/>
    </w:rPr>
  </w:style>
  <w:style w:type="paragraph" w:styleId="834">
    <w:name w:val="footnote text"/>
    <w:basedOn w:val="806"/>
    <w:link w:val="995"/>
    <w:uiPriority w:val="99"/>
    <w:semiHidden/>
    <w:unhideWhenUsed/>
    <w:qFormat/>
    <w:pPr>
      <w:spacing w:after="40" w:line="240" w:lineRule="auto"/>
    </w:pPr>
    <w:rPr>
      <w:sz w:val="18"/>
    </w:rPr>
  </w:style>
  <w:style w:type="paragraph" w:styleId="835">
    <w:name w:val="toc 6"/>
    <w:basedOn w:val="806"/>
    <w:next w:val="806"/>
    <w:uiPriority w:val="39"/>
    <w:unhideWhenUsed/>
    <w:qFormat/>
    <w:pPr>
      <w:ind w:left="1417" w:right="0" w:firstLine="0"/>
      <w:spacing w:after="57"/>
    </w:pPr>
  </w:style>
  <w:style w:type="paragraph" w:styleId="836">
    <w:name w:val="table of figures"/>
    <w:basedOn w:val="806"/>
    <w:next w:val="806"/>
    <w:uiPriority w:val="99"/>
    <w:unhideWhenUsed/>
    <w:qFormat/>
    <w:pPr>
      <w:spacing w:after="0" w:afterAutospacing="0"/>
    </w:pPr>
  </w:style>
  <w:style w:type="paragraph" w:styleId="837">
    <w:name w:val="toc 2"/>
    <w:basedOn w:val="806"/>
    <w:next w:val="806"/>
    <w:uiPriority w:val="39"/>
    <w:unhideWhenUsed/>
    <w:qFormat/>
    <w:pPr>
      <w:ind w:left="283" w:right="0" w:firstLine="0"/>
      <w:spacing w:after="57"/>
    </w:pPr>
  </w:style>
  <w:style w:type="paragraph" w:styleId="838">
    <w:name w:val="toc 9"/>
    <w:basedOn w:val="806"/>
    <w:next w:val="806"/>
    <w:uiPriority w:val="39"/>
    <w:unhideWhenUsed/>
    <w:qFormat/>
    <w:pPr>
      <w:ind w:left="2268" w:right="0" w:firstLine="0"/>
      <w:spacing w:after="57"/>
    </w:pPr>
  </w:style>
  <w:style w:type="paragraph" w:styleId="839">
    <w:name w:val="Body Text 2"/>
    <w:basedOn w:val="806"/>
    <w:uiPriority w:val="0"/>
    <w:qFormat/>
    <w:pPr>
      <w:spacing w:line="440" w:lineRule="exact"/>
    </w:pPr>
    <w:rPr>
      <w:rFonts w:ascii="楷体_GB2312" w:eastAsia="楷体_GB2312"/>
      <w:sz w:val="28"/>
    </w:rPr>
  </w:style>
  <w:style w:type="paragraph" w:styleId="840">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841">
    <w:name w:val="Title"/>
    <w:basedOn w:val="806"/>
    <w:next w:val="806"/>
    <w:link w:val="861"/>
    <w:uiPriority w:val="10"/>
    <w:qFormat/>
    <w:pPr>
      <w:contextualSpacing/>
      <w:spacing w:before="300" w:after="200"/>
    </w:pPr>
    <w:rPr>
      <w:sz w:val="48"/>
      <w:szCs w:val="48"/>
    </w:rPr>
  </w:style>
  <w:style w:type="paragraph" w:styleId="842">
    <w:name w:val="Body Text First Indent 2"/>
    <w:basedOn w:val="822"/>
    <w:uiPriority w:val="0"/>
    <w:qFormat/>
    <w:pPr>
      <w:ind w:left="420" w:firstLine="420"/>
      <w:spacing w:after="120"/>
    </w:pPr>
    <w:rPr>
      <w:rFonts w:ascii="Times New Roman" w:eastAsia="宋体"/>
      <w:sz w:val="21"/>
      <w:szCs w:val="24"/>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paragraph" w:styleId="847"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848" w:customStyle="1">
    <w:name w:val="正文1"/>
    <w:basedOn w:val="806"/>
    <w:uiPriority w:val="0"/>
    <w:qFormat/>
    <w:pPr>
      <w:contextualSpacing/>
      <w:ind w:firstLine="200"/>
      <w:jc w:val="left"/>
      <w:spacing w:before="120" w:after="120"/>
      <w:widowControl/>
    </w:pPr>
    <w:rPr>
      <w:rFonts w:ascii="Calibri" w:hAnsi="Calibri" w:eastAsia="Adobe 仿宋 Std R" w:cs="Times New Roman"/>
      <w:szCs w:val="21"/>
    </w:rPr>
  </w:style>
  <w:style w:type="paragraph" w:styleId="849" w:customStyle="1">
    <w:name w:val="首行缩进"/>
    <w:basedOn w:val="806"/>
    <w:uiPriority w:val="0"/>
    <w:qFormat/>
    <w:pPr>
      <w:ind w:firstLine="420"/>
      <w:spacing w:line="360" w:lineRule="auto"/>
    </w:pPr>
    <w:rPr>
      <w:sz w:val="20"/>
    </w:rPr>
  </w:style>
  <w:style w:type="character" w:styleId="850" w:customStyle="1">
    <w:name w:val="Heading 1 Char"/>
    <w:link w:val="807"/>
    <w:uiPriority w:val="9"/>
    <w:qFormat/>
    <w:rPr>
      <w:rFonts w:ascii="Arial" w:hAnsi="Arial" w:eastAsia="Arial" w:cs="Arial"/>
      <w:sz w:val="40"/>
      <w:szCs w:val="40"/>
    </w:rPr>
  </w:style>
  <w:style w:type="character" w:styleId="851" w:customStyle="1">
    <w:name w:val="Heading 2 Char"/>
    <w:link w:val="808"/>
    <w:uiPriority w:val="9"/>
    <w:qFormat/>
    <w:rPr>
      <w:rFonts w:ascii="Arial" w:hAnsi="Arial" w:eastAsia="Arial" w:cs="Arial"/>
      <w:sz w:val="34"/>
    </w:rPr>
  </w:style>
  <w:style w:type="character" w:styleId="852" w:customStyle="1">
    <w:name w:val="Heading 3 Char"/>
    <w:link w:val="809"/>
    <w:uiPriority w:val="9"/>
    <w:qFormat/>
    <w:rPr>
      <w:rFonts w:ascii="Arial" w:hAnsi="Arial" w:eastAsia="Arial" w:cs="Arial"/>
      <w:sz w:val="30"/>
      <w:szCs w:val="30"/>
    </w:rPr>
  </w:style>
  <w:style w:type="character" w:styleId="853" w:customStyle="1">
    <w:name w:val="Heading 4 Char"/>
    <w:link w:val="810"/>
    <w:uiPriority w:val="9"/>
    <w:qFormat/>
    <w:rPr>
      <w:rFonts w:ascii="Arial" w:hAnsi="Arial" w:eastAsia="Arial" w:cs="Arial"/>
      <w:b/>
      <w:bCs/>
      <w:sz w:val="26"/>
      <w:szCs w:val="26"/>
    </w:rPr>
  </w:style>
  <w:style w:type="character" w:styleId="854" w:customStyle="1">
    <w:name w:val="Heading 5 Char"/>
    <w:link w:val="811"/>
    <w:uiPriority w:val="9"/>
    <w:qFormat/>
    <w:rPr>
      <w:rFonts w:ascii="Arial" w:hAnsi="Arial" w:eastAsia="Arial" w:cs="Arial"/>
      <w:b/>
      <w:bCs/>
      <w:sz w:val="24"/>
      <w:szCs w:val="24"/>
    </w:rPr>
  </w:style>
  <w:style w:type="character" w:styleId="855" w:customStyle="1">
    <w:name w:val="Heading 6 Char"/>
    <w:link w:val="812"/>
    <w:uiPriority w:val="9"/>
    <w:qFormat/>
    <w:rPr>
      <w:rFonts w:ascii="Arial" w:hAnsi="Arial" w:eastAsia="Arial" w:cs="Arial"/>
      <w:b/>
      <w:bCs/>
      <w:sz w:val="22"/>
      <w:szCs w:val="22"/>
    </w:rPr>
  </w:style>
  <w:style w:type="character" w:styleId="856" w:customStyle="1">
    <w:name w:val="Heading 7 Char"/>
    <w:link w:val="813"/>
    <w:uiPriority w:val="9"/>
    <w:qFormat/>
    <w:rPr>
      <w:rFonts w:ascii="Arial" w:hAnsi="Arial" w:eastAsia="Arial" w:cs="Arial"/>
      <w:b/>
      <w:bCs/>
      <w:i/>
      <w:iCs/>
      <w:sz w:val="22"/>
      <w:szCs w:val="22"/>
    </w:rPr>
  </w:style>
  <w:style w:type="character" w:styleId="857" w:customStyle="1">
    <w:name w:val="Heading 8 Char"/>
    <w:link w:val="814"/>
    <w:uiPriority w:val="9"/>
    <w:qFormat/>
    <w:rPr>
      <w:rFonts w:ascii="Arial" w:hAnsi="Arial" w:eastAsia="Arial" w:cs="Arial"/>
      <w:i/>
      <w:iCs/>
      <w:sz w:val="22"/>
      <w:szCs w:val="22"/>
    </w:rPr>
  </w:style>
  <w:style w:type="character" w:styleId="858" w:customStyle="1">
    <w:name w:val="Heading 9 Char"/>
    <w:link w:val="815"/>
    <w:uiPriority w:val="9"/>
    <w:qFormat/>
    <w:rPr>
      <w:rFonts w:ascii="Arial" w:hAnsi="Arial" w:eastAsia="Arial" w:cs="Arial"/>
      <w:i/>
      <w:iCs/>
      <w:sz w:val="21"/>
      <w:szCs w:val="21"/>
    </w:rPr>
  </w:style>
  <w:style w:type="paragraph" w:styleId="859">
    <w:name w:val="List Paragraph"/>
    <w:basedOn w:val="806"/>
    <w:uiPriority w:val="34"/>
    <w:qFormat/>
    <w:pPr>
      <w:contextualSpacing/>
      <w:ind w:left="720"/>
    </w:pPr>
  </w:style>
  <w:style w:type="paragraph" w:styleId="860">
    <w:name w:val="No Spacing"/>
    <w:uiPriority w:val="1"/>
    <w:qFormat/>
    <w:pPr>
      <w:spacing w:before="0" w:after="0" w:line="240" w:lineRule="auto"/>
    </w:pPr>
    <w:rPr>
      <w:rFonts w:hint="default" w:ascii="Times New Roman" w:hAnsi="Times New Roman" w:eastAsia="宋体" w:cs="Times New Roman"/>
    </w:rPr>
  </w:style>
  <w:style w:type="character" w:styleId="861" w:customStyle="1">
    <w:name w:val="Title Char"/>
    <w:link w:val="841"/>
    <w:uiPriority w:val="10"/>
    <w:qFormat/>
    <w:rPr>
      <w:sz w:val="48"/>
      <w:szCs w:val="48"/>
    </w:rPr>
  </w:style>
  <w:style w:type="character" w:styleId="862" w:customStyle="1">
    <w:name w:val="Subtitle Char"/>
    <w:link w:val="833"/>
    <w:uiPriority w:val="11"/>
    <w:qFormat/>
    <w:rPr>
      <w:sz w:val="24"/>
      <w:szCs w:val="24"/>
    </w:rPr>
  </w:style>
  <w:style w:type="paragraph" w:styleId="863">
    <w:name w:val="Quote"/>
    <w:basedOn w:val="806"/>
    <w:next w:val="806"/>
    <w:link w:val="864"/>
    <w:uiPriority w:val="29"/>
    <w:qFormat/>
    <w:pPr>
      <w:ind w:left="720" w:right="720"/>
    </w:pPr>
    <w:rPr>
      <w:i/>
    </w:rPr>
  </w:style>
  <w:style w:type="character" w:styleId="864" w:customStyle="1">
    <w:name w:val="Quote Char"/>
    <w:link w:val="863"/>
    <w:uiPriority w:val="29"/>
    <w:qFormat/>
    <w:rPr>
      <w:i/>
    </w:rPr>
  </w:style>
  <w:style w:type="paragraph" w:styleId="865">
    <w:name w:val="Intense Quote"/>
    <w:basedOn w:val="806"/>
    <w:next w:val="806"/>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Intense Quote Char"/>
    <w:link w:val="865"/>
    <w:uiPriority w:val="30"/>
    <w:qFormat/>
    <w:rPr>
      <w:i/>
    </w:rPr>
  </w:style>
  <w:style w:type="character" w:styleId="867" w:customStyle="1">
    <w:name w:val="Header Char"/>
    <w:link w:val="830"/>
    <w:uiPriority w:val="99"/>
    <w:qFormat/>
  </w:style>
  <w:style w:type="character" w:styleId="868" w:customStyle="1">
    <w:name w:val="Footer Char"/>
    <w:link w:val="829"/>
    <w:uiPriority w:val="99"/>
    <w:qFormat/>
  </w:style>
  <w:style w:type="character" w:styleId="869" w:customStyle="1">
    <w:name w:val="Caption Char"/>
    <w:link w:val="829"/>
    <w:uiPriority w:val="99"/>
    <w:qFormat/>
  </w:style>
  <w:style w:type="table" w:styleId="8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link w:val="834"/>
    <w:uiPriority w:val="99"/>
    <w:qFormat/>
    <w:rPr>
      <w:sz w:val="18"/>
    </w:rPr>
  </w:style>
  <w:style w:type="character" w:styleId="996" w:customStyle="1">
    <w:name w:val="Endnote Text Char"/>
    <w:link w:val="828"/>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标题 11"/>
    <w:basedOn w:val="806"/>
    <w:next w:val="806"/>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99" w:customStyle="1">
    <w:name w:val="标题 31"/>
    <w:basedOn w:val="806"/>
    <w:next w:val="80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00" w:customStyle="1">
    <w:name w:val="标题 41"/>
    <w:basedOn w:val="806"/>
    <w:next w:val="806"/>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1001" w:customStyle="1">
    <w:name w:val="标题 51"/>
    <w:basedOn w:val="806"/>
    <w:next w:val="806"/>
    <w:uiPriority w:val="0"/>
    <w:qFormat/>
    <w:pPr>
      <w:keepLines/>
      <w:keepNext/>
      <w:spacing w:before="280" w:after="290" w:line="376" w:lineRule="auto"/>
      <w:outlineLvl w:val="4"/>
    </w:pPr>
    <w:rPr>
      <w:b/>
      <w:bCs/>
      <w:sz w:val="28"/>
      <w:szCs w:val="28"/>
    </w:rPr>
  </w:style>
  <w:style w:type="paragraph" w:styleId="1002" w:customStyle="1">
    <w:name w:val="标题 61"/>
    <w:basedOn w:val="806"/>
    <w:next w:val="806"/>
    <w:uiPriority w:val="0"/>
    <w:qFormat/>
    <w:pPr>
      <w:keepLines/>
      <w:keepNext/>
      <w:spacing w:before="240" w:after="64" w:line="320" w:lineRule="auto"/>
      <w:outlineLvl w:val="5"/>
    </w:pPr>
    <w:rPr>
      <w:rFonts w:ascii="Cambria" w:hAnsi="Cambria" w:eastAsia="宋体" w:cs="Times New Roman"/>
      <w:b/>
      <w:bCs/>
      <w:sz w:val="24"/>
    </w:rPr>
  </w:style>
  <w:style w:type="character" w:styleId="1003" w:customStyle="1">
    <w:name w:val="默认段落字体1"/>
    <w:link w:val="806"/>
    <w:uiPriority w:val="0"/>
    <w:semiHidden/>
    <w:qFormat/>
  </w:style>
  <w:style w:type="table" w:styleId="1004" w:customStyle="1">
    <w:name w:val="普通表格1"/>
    <w:uiPriority w:val="0"/>
    <w:semiHidden/>
    <w:qFormat/>
    <w:tblPr/>
  </w:style>
  <w:style w:type="paragraph" w:styleId="1005" w:customStyle="1">
    <w:name w:val="正文缩进1"/>
    <w:basedOn w:val="806"/>
    <w:next w:val="806"/>
    <w:link w:val="1006"/>
    <w:uiPriority w:val="0"/>
    <w:qFormat/>
    <w:pPr>
      <w:ind w:firstLine="420"/>
    </w:pPr>
  </w:style>
  <w:style w:type="character" w:styleId="1006" w:customStyle="1">
    <w:name w:val="正文缩进 Char"/>
    <w:link w:val="1005"/>
    <w:uiPriority w:val="0"/>
    <w:qFormat/>
    <w:rPr>
      <w:sz w:val="21"/>
      <w:szCs w:val="24"/>
    </w:rPr>
  </w:style>
  <w:style w:type="paragraph" w:styleId="1007" w:customStyle="1">
    <w:name w:val="题注1"/>
    <w:basedOn w:val="806"/>
    <w:next w:val="806"/>
    <w:uiPriority w:val="0"/>
    <w:unhideWhenUsed/>
    <w:qFormat/>
    <w:rPr>
      <w:rFonts w:ascii="Arial" w:hAnsi="Arial" w:eastAsia="黑体"/>
      <w:sz w:val="20"/>
    </w:rPr>
  </w:style>
  <w:style w:type="paragraph" w:styleId="1008" w:customStyle="1">
    <w:name w:val="索引 51"/>
    <w:basedOn w:val="806"/>
    <w:next w:val="806"/>
    <w:uiPriority w:val="0"/>
    <w:qFormat/>
    <w:pPr>
      <w:ind w:left="798"/>
      <w:jc w:val="left"/>
      <w:spacing w:line="240" w:lineRule="auto"/>
    </w:pPr>
    <w:rPr>
      <w:rFonts w:ascii="Calibri" w:hAnsi="Calibri" w:eastAsia="Times New Roman" w:cs="Times New Roman"/>
      <w:szCs w:val="24"/>
    </w:rPr>
  </w:style>
  <w:style w:type="paragraph" w:styleId="1009" w:customStyle="1">
    <w:name w:val="文档结构图1"/>
    <w:basedOn w:val="806"/>
    <w:uiPriority w:val="0"/>
    <w:semiHidden/>
    <w:qFormat/>
    <w:pPr>
      <w:shd w:val="clear" w:color="auto" w:fill="000080"/>
    </w:pPr>
  </w:style>
  <w:style w:type="paragraph" w:styleId="1010" w:customStyle="1">
    <w:name w:val="正文文本 31"/>
    <w:basedOn w:val="806"/>
    <w:uiPriority w:val="0"/>
    <w:qFormat/>
    <w:pPr>
      <w:jc w:val="center"/>
    </w:pPr>
    <w:rPr>
      <w:rFonts w:eastAsia="黑体"/>
      <w:sz w:val="72"/>
    </w:rPr>
  </w:style>
  <w:style w:type="paragraph" w:styleId="1011" w:customStyle="1">
    <w:name w:val="正文文本1"/>
    <w:basedOn w:val="806"/>
    <w:uiPriority w:val="99"/>
    <w:qFormat/>
    <w:pPr>
      <w:jc w:val="center"/>
    </w:pPr>
    <w:rPr>
      <w:rFonts w:eastAsia="仿宋_GB2312"/>
      <w:sz w:val="28"/>
    </w:rPr>
  </w:style>
  <w:style w:type="paragraph" w:styleId="1012" w:customStyle="1">
    <w:name w:val="正文文本缩进1"/>
    <w:basedOn w:val="806"/>
    <w:next w:val="1011"/>
    <w:uiPriority w:val="0"/>
    <w:qFormat/>
    <w:pPr>
      <w:ind w:left="420"/>
      <w:spacing w:after="120"/>
    </w:pPr>
  </w:style>
  <w:style w:type="paragraph" w:styleId="1013" w:customStyle="1">
    <w:name w:val="纯文本1"/>
    <w:basedOn w:val="806"/>
    <w:next w:val="806"/>
    <w:link w:val="1014"/>
    <w:uiPriority w:val="0"/>
    <w:qFormat/>
    <w:rPr>
      <w:rFonts w:ascii="宋体" w:hAnsi="Courier New"/>
      <w:szCs w:val="20"/>
    </w:rPr>
  </w:style>
  <w:style w:type="character" w:styleId="1014" w:customStyle="1">
    <w:name w:val="纯文本 Char"/>
    <w:link w:val="1013"/>
    <w:uiPriority w:val="0"/>
    <w:qFormat/>
    <w:rPr>
      <w:rFonts w:ascii="宋体" w:hAnsi="Courier New" w:eastAsia="宋体"/>
      <w:sz w:val="21"/>
      <w:lang w:val="en-US" w:eastAsia="zh-CN" w:bidi="ar-SA"/>
    </w:rPr>
  </w:style>
  <w:style w:type="paragraph" w:styleId="1015" w:customStyle="1">
    <w:name w:val="日期1"/>
    <w:basedOn w:val="806"/>
    <w:next w:val="806"/>
    <w:uiPriority w:val="0"/>
    <w:qFormat/>
    <w:pPr>
      <w:ind w:left="100"/>
    </w:pPr>
    <w:rPr>
      <w:rFonts w:ascii="黑体" w:eastAsia="黑体"/>
      <w:sz w:val="72"/>
    </w:rPr>
  </w:style>
  <w:style w:type="paragraph" w:styleId="1016" w:customStyle="1">
    <w:name w:val="正文文本缩进 21"/>
    <w:basedOn w:val="806"/>
    <w:uiPriority w:val="0"/>
    <w:qFormat/>
    <w:pPr>
      <w:ind w:right="-2" w:firstLine="540"/>
      <w:tabs>
        <w:tab w:val="left" w:pos="9741" w:leader="none"/>
      </w:tabs>
    </w:pPr>
    <w:rPr>
      <w:rFonts w:eastAsia="仿宋_GB2312"/>
      <w:sz w:val="28"/>
    </w:rPr>
  </w:style>
  <w:style w:type="paragraph" w:styleId="1017" w:customStyle="1">
    <w:name w:val="批注框文本1"/>
    <w:basedOn w:val="806"/>
    <w:uiPriority w:val="0"/>
    <w:semiHidden/>
    <w:qFormat/>
    <w:rPr>
      <w:sz w:val="18"/>
      <w:szCs w:val="18"/>
    </w:rPr>
  </w:style>
  <w:style w:type="paragraph" w:styleId="1018" w:customStyle="1">
    <w:name w:val="页脚1"/>
    <w:basedOn w:val="806"/>
    <w:uiPriority w:val="0"/>
    <w:qFormat/>
    <w:pPr>
      <w:jc w:val="left"/>
      <w:tabs>
        <w:tab w:val="center" w:pos="4153" w:leader="none"/>
        <w:tab w:val="right" w:pos="8306" w:leader="none"/>
      </w:tabs>
    </w:pPr>
    <w:rPr>
      <w:sz w:val="18"/>
      <w:szCs w:val="18"/>
    </w:rPr>
  </w:style>
  <w:style w:type="paragraph" w:styleId="1019" w:customStyle="1">
    <w:name w:val="寄信人地址1"/>
    <w:basedOn w:val="806"/>
    <w:uiPriority w:val="0"/>
    <w:qFormat/>
    <w:rPr>
      <w:rFonts w:ascii="Arial" w:hAnsi="Arial" w:eastAsia="宋体" w:cs="Times New Roman"/>
    </w:rPr>
  </w:style>
  <w:style w:type="paragraph" w:styleId="1020" w:customStyle="1">
    <w:name w:val="页眉1"/>
    <w:basedOn w:val="806"/>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Char"/>
    <w:link w:val="1020"/>
    <w:uiPriority w:val="0"/>
    <w:qFormat/>
    <w:rPr>
      <w:sz w:val="18"/>
      <w:szCs w:val="18"/>
    </w:rPr>
  </w:style>
  <w:style w:type="paragraph" w:styleId="1022" w:customStyle="1">
    <w:name w:val="目录 11"/>
    <w:basedOn w:val="806"/>
    <w:next w:val="806"/>
    <w:uiPriority w:val="39"/>
    <w:unhideWhenUsed/>
    <w:qFormat/>
    <w:rPr>
      <w:rFonts w:ascii="Calibri" w:hAnsi="Calibri" w:eastAsia="楷体_GB2312" w:cs="Calibri"/>
      <w:sz w:val="28"/>
      <w:szCs w:val="20"/>
    </w:rPr>
  </w:style>
  <w:style w:type="paragraph" w:styleId="1023" w:customStyle="1">
    <w:name w:val="脚注文本1"/>
    <w:basedOn w:val="806"/>
    <w:next w:val="1008"/>
    <w:uiPriority w:val="99"/>
    <w:qFormat/>
    <w:rPr>
      <w:rFonts w:ascii="Times New Roman" w:hAnsi="Times New Roman"/>
      <w:b/>
      <w:bCs/>
      <w:sz w:val="24"/>
      <w:szCs w:val="28"/>
    </w:rPr>
  </w:style>
  <w:style w:type="paragraph" w:styleId="1024" w:customStyle="1">
    <w:name w:val="正文文本缩进 31"/>
    <w:basedOn w:val="806"/>
    <w:uiPriority w:val="0"/>
    <w:qFormat/>
    <w:pPr>
      <w:ind w:firstLine="435"/>
    </w:pPr>
    <w:rPr>
      <w:rFonts w:ascii="仿宋_GB2312" w:hAnsi="宋体" w:eastAsia="仿宋_GB2312"/>
      <w:sz w:val="28"/>
    </w:rPr>
  </w:style>
  <w:style w:type="paragraph" w:styleId="1025" w:customStyle="1">
    <w:name w:val="正文文本 21"/>
    <w:basedOn w:val="806"/>
    <w:uiPriority w:val="0"/>
    <w:qFormat/>
    <w:rPr>
      <w:rFonts w:ascii="仿宋_GB2312" w:eastAsia="仿宋_GB2312"/>
      <w:sz w:val="28"/>
    </w:rPr>
  </w:style>
  <w:style w:type="paragraph" w:styleId="1026" w:customStyle="1">
    <w:name w:val="列表接续 21"/>
    <w:basedOn w:val="806"/>
    <w:next w:val="806"/>
    <w:uiPriority w:val="0"/>
    <w:qFormat/>
    <w:pPr>
      <w:ind w:left="840"/>
      <w:spacing w:after="120"/>
    </w:pPr>
  </w:style>
  <w:style w:type="paragraph" w:styleId="1027" w:customStyle="1">
    <w:name w:val="信息标题1"/>
    <w:basedOn w:val="806"/>
    <w:next w:val="80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28" w:customStyle="1">
    <w:name w:val="普通(网站)1"/>
    <w:basedOn w:val="806"/>
    <w:uiPriority w:val="0"/>
    <w:qFormat/>
    <w:rPr>
      <w:sz w:val="24"/>
    </w:rPr>
  </w:style>
  <w:style w:type="paragraph" w:styleId="1029" w:customStyle="1">
    <w:name w:val="标题1"/>
    <w:basedOn w:val="806"/>
    <w:next w:val="806"/>
    <w:uiPriority w:val="0"/>
    <w:qFormat/>
    <w:pPr>
      <w:jc w:val="center"/>
      <w:spacing w:before="240" w:after="60" w:line="420" w:lineRule="atLeast"/>
      <w:outlineLvl w:val="0"/>
    </w:pPr>
    <w:rPr>
      <w:rFonts w:ascii="Arial" w:hAnsi="Arial"/>
      <w:b/>
      <w:sz w:val="32"/>
      <w:szCs w:val="20"/>
    </w:rPr>
  </w:style>
  <w:style w:type="paragraph" w:styleId="1030" w:customStyle="1">
    <w:name w:val="正文首行缩进 21"/>
    <w:basedOn w:val="1012"/>
    <w:next w:val="806"/>
    <w:uiPriority w:val="0"/>
    <w:qFormat/>
    <w:pPr>
      <w:ind w:firstLine="420"/>
    </w:pPr>
    <w:rPr>
      <w:szCs w:val="24"/>
    </w:rPr>
  </w:style>
  <w:style w:type="table" w:styleId="1031" w:customStyle="1">
    <w:name w:val="网格型1"/>
    <w:basedOn w:val="1004"/>
    <w:uiPriority w:val="0"/>
    <w:qFormat/>
    <w:pPr>
      <w:jc w:val="both"/>
      <w:widowControl w:val="off"/>
    </w:pPr>
    <w:rPr>
      <w:rFonts w:ascii="Times New Roman" w:hAnsi="Times New Roman"/>
    </w:rPr>
    <w:tblPr/>
  </w:style>
  <w:style w:type="character" w:styleId="1032" w:customStyle="1">
    <w:name w:val="页码1"/>
    <w:basedOn w:val="1003"/>
    <w:link w:val="806"/>
    <w:uiPriority w:val="0"/>
    <w:qFormat/>
  </w:style>
  <w:style w:type="character" w:styleId="1033" w:customStyle="1">
    <w:name w:val="已访问的超链接1"/>
    <w:basedOn w:val="1003"/>
    <w:link w:val="806"/>
    <w:uiPriority w:val="0"/>
    <w:qFormat/>
    <w:rPr>
      <w:color w:val="333333"/>
      <w:u w:val="none"/>
    </w:rPr>
  </w:style>
  <w:style w:type="character" w:styleId="1034" w:customStyle="1">
    <w:name w:val="超链接1"/>
    <w:basedOn w:val="1003"/>
    <w:link w:val="806"/>
    <w:uiPriority w:val="0"/>
    <w:qFormat/>
    <w:rPr>
      <w:color w:val="333333"/>
      <w:u w:val="none"/>
    </w:rPr>
  </w:style>
  <w:style w:type="character" w:styleId="1035" w:customStyle="1">
    <w:name w:val="列出段落 Char"/>
    <w:link w:val="1036"/>
    <w:uiPriority w:val="0"/>
    <w:qFormat/>
    <w:rPr>
      <w:sz w:val="21"/>
      <w:szCs w:val="24"/>
    </w:rPr>
  </w:style>
  <w:style w:type="paragraph" w:styleId="1036" w:customStyle="1">
    <w:name w:val="列出段落"/>
    <w:basedOn w:val="806"/>
    <w:link w:val="1035"/>
    <w:uiPriority w:val="0"/>
    <w:qFormat/>
    <w:pPr>
      <w:ind w:firstLine="420"/>
    </w:pPr>
  </w:style>
  <w:style w:type="character" w:styleId="1037" w:customStyle="1">
    <w:name w:val="纯文本 Char1"/>
    <w:link w:val="806"/>
    <w:uiPriority w:val="0"/>
    <w:qFormat/>
    <w:rPr>
      <w:rFonts w:ascii="宋体" w:hAnsi="Courier New" w:eastAsia="宋体"/>
      <w:sz w:val="21"/>
      <w:lang w:val="en-US" w:eastAsia="zh-CN" w:bidi="ar-SA"/>
    </w:rPr>
  </w:style>
  <w:style w:type="character" w:styleId="1038" w:customStyle="1">
    <w:name w:val="正文格式 Char1"/>
    <w:link w:val="1039"/>
    <w:uiPriority w:val="0"/>
    <w:qFormat/>
    <w:rPr>
      <w:sz w:val="24"/>
    </w:rPr>
  </w:style>
  <w:style w:type="paragraph" w:styleId="1039" w:customStyle="1">
    <w:name w:val="正文格式"/>
    <w:basedOn w:val="806"/>
    <w:link w:val="1038"/>
    <w:uiPriority w:val="0"/>
    <w:qFormat/>
    <w:pPr>
      <w:ind w:firstLine="482"/>
      <w:spacing w:line="360" w:lineRule="auto"/>
      <w:widowControl/>
    </w:pPr>
    <w:rPr>
      <w:sz w:val="24"/>
      <w:szCs w:val="20"/>
    </w:rPr>
  </w:style>
  <w:style w:type="paragraph" w:styleId="1040" w:customStyle="1">
    <w:name w:val="xl71"/>
    <w:basedOn w:val="80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1" w:customStyle="1">
    <w:name w:val=" Char"/>
    <w:basedOn w:val="1009"/>
    <w:uiPriority w:val="0"/>
    <w:qFormat/>
    <w:pPr>
      <w:spacing w:line="360" w:lineRule="auto"/>
    </w:pPr>
    <w:rPr>
      <w:rFonts w:ascii="Tahoma" w:hAnsi="Tahoma"/>
      <w:sz w:val="24"/>
    </w:rPr>
  </w:style>
  <w:style w:type="paragraph" w:styleId="1042" w:customStyle="1">
    <w:name w:val="xl37"/>
    <w:basedOn w:val="80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3" w:customStyle="1">
    <w:name w:val="xl55"/>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4" w:customStyle="1">
    <w:name w:val="xl66"/>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74"/>
    <w:basedOn w:val="8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样式 首行缩进:  2 字符"/>
    <w:basedOn w:val="806"/>
    <w:uiPriority w:val="0"/>
    <w:qFormat/>
    <w:pPr>
      <w:ind w:firstLine="560"/>
    </w:pPr>
    <w:rPr>
      <w:rFonts w:ascii="等线" w:hAnsi="等线" w:eastAsia="等线" w:cs="宋体"/>
      <w:sz w:val="24"/>
    </w:rPr>
  </w:style>
  <w:style w:type="paragraph" w:styleId="1047" w:customStyle="1">
    <w:name w:val="xl33"/>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8" w:customStyle="1">
    <w:name w:val="xl84"/>
    <w:basedOn w:val="8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9" w:customStyle="1">
    <w:name w:val="xl34"/>
    <w:basedOn w:val="80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0" w:customStyle="1">
    <w:name w:val=" 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051" w:customStyle="1">
    <w:name w:val="标题5"/>
    <w:basedOn w:val="1001"/>
    <w:next w:val="806"/>
    <w:uiPriority w:val="0"/>
    <w:qFormat/>
    <w:pPr>
      <w:spacing w:before="0" w:after="0"/>
    </w:pPr>
    <w:rPr>
      <w:rFonts w:ascii="楷体" w:hAnsi="楷体" w:eastAsia="楷体"/>
    </w:rPr>
  </w:style>
  <w:style w:type="paragraph" w:styleId="1052" w:customStyle="1">
    <w:name w:val="xl51"/>
    <w:basedOn w:val="80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53" w:customStyle="1">
    <w:name w:val="font8"/>
    <w:basedOn w:val="806"/>
    <w:uiPriority w:val="0"/>
    <w:qFormat/>
    <w:pPr>
      <w:jc w:val="left"/>
      <w:spacing w:before="100" w:beforeAutospacing="1" w:after="100" w:afterAutospacing="1"/>
      <w:widowControl/>
    </w:pPr>
    <w:rPr>
      <w:rFonts w:eastAsia="Arial Unicode MS"/>
      <w:sz w:val="18"/>
      <w:szCs w:val="18"/>
    </w:rPr>
  </w:style>
  <w:style w:type="paragraph" w:styleId="1054" w:customStyle="1">
    <w:name w:val="font13"/>
    <w:basedOn w:val="806"/>
    <w:uiPriority w:val="0"/>
    <w:qFormat/>
    <w:pPr>
      <w:jc w:val="left"/>
      <w:spacing w:before="100" w:beforeAutospacing="1" w:after="100" w:afterAutospacing="1"/>
      <w:widowControl/>
    </w:pPr>
    <w:rPr>
      <w:rFonts w:eastAsia="Arial Unicode MS"/>
      <w:b/>
      <w:bCs/>
      <w:sz w:val="18"/>
      <w:szCs w:val="18"/>
    </w:rPr>
  </w:style>
  <w:style w:type="paragraph" w:styleId="1055" w:customStyle="1">
    <w:name w:val="font10"/>
    <w:basedOn w:val="806"/>
    <w:uiPriority w:val="0"/>
    <w:qFormat/>
    <w:pPr>
      <w:jc w:val="left"/>
      <w:spacing w:before="100" w:beforeAutospacing="1" w:after="100" w:afterAutospacing="1"/>
      <w:widowControl/>
    </w:pPr>
    <w:rPr>
      <w:rFonts w:eastAsia="Arial Unicode MS"/>
      <w:sz w:val="18"/>
      <w:szCs w:val="18"/>
    </w:rPr>
  </w:style>
  <w:style w:type="paragraph" w:styleId="1056" w:customStyle="1">
    <w:name w:val="xl43"/>
    <w:basedOn w:val="806"/>
    <w:uiPriority w:val="0"/>
    <w:qFormat/>
    <w:pPr>
      <w:jc w:val="left"/>
      <w:spacing w:before="100" w:beforeAutospacing="1" w:after="100" w:afterAutospacing="1"/>
      <w:widowControl/>
    </w:pPr>
    <w:rPr>
      <w:rFonts w:ascii="Arial Unicode MS" w:hAnsi="Arial Unicode MS" w:eastAsia="Arial Unicode MS"/>
      <w:sz w:val="24"/>
    </w:rPr>
  </w:style>
  <w:style w:type="paragraph" w:styleId="1057" w:customStyle="1">
    <w:name w:val="p0"/>
    <w:basedOn w:val="806"/>
    <w:uiPriority w:val="0"/>
    <w:qFormat/>
    <w:pPr>
      <w:widowControl/>
    </w:pPr>
    <w:rPr>
      <w:rFonts w:ascii="Times New Roman" w:hAnsi="Times New Roman"/>
      <w:szCs w:val="21"/>
    </w:rPr>
  </w:style>
  <w:style w:type="paragraph" w:styleId="1058" w:customStyle="1">
    <w:name w:val="xl77"/>
    <w:basedOn w:val="8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59" w:customStyle="1">
    <w:name w:val="xl30"/>
    <w:basedOn w:val="80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60" w:customStyle="1">
    <w:name w:val="xl31"/>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1" w:customStyle="1">
    <w:name w:val="xl46"/>
    <w:basedOn w:val="80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2" w:customStyle="1">
    <w:name w:val="xl41"/>
    <w:basedOn w:val="8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font5"/>
    <w:basedOn w:val="806"/>
    <w:uiPriority w:val="0"/>
    <w:qFormat/>
    <w:pPr>
      <w:jc w:val="left"/>
      <w:spacing w:before="100" w:beforeAutospacing="1" w:after="100" w:afterAutospacing="1"/>
      <w:widowControl/>
    </w:pPr>
    <w:rPr>
      <w:rFonts w:hint="eastAsia" w:ascii="宋体" w:hAnsi="宋体"/>
      <w:sz w:val="18"/>
      <w:szCs w:val="18"/>
    </w:rPr>
  </w:style>
  <w:style w:type="paragraph" w:styleId="1064" w:customStyle="1">
    <w:name w:val="xl32"/>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5" w:customStyle="1">
    <w:name w:val="font12"/>
    <w:basedOn w:val="806"/>
    <w:uiPriority w:val="0"/>
    <w:qFormat/>
    <w:pPr>
      <w:jc w:val="left"/>
      <w:spacing w:before="100" w:beforeAutospacing="1" w:after="100" w:afterAutospacing="1"/>
      <w:widowControl/>
    </w:pPr>
    <w:rPr>
      <w:rFonts w:eastAsia="Arial Unicode MS"/>
      <w:color w:val="333333"/>
      <w:sz w:val="18"/>
      <w:szCs w:val="18"/>
    </w:rPr>
  </w:style>
  <w:style w:type="paragraph" w:styleId="1066" w:customStyle="1">
    <w:name w:val="xl28"/>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xl60"/>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8" w:customStyle="1">
    <w:name w:val="xl73"/>
    <w:basedOn w:val="80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9" w:customStyle="1">
    <w:name w:val="font11"/>
    <w:basedOn w:val="806"/>
    <w:uiPriority w:val="0"/>
    <w:qFormat/>
    <w:pPr>
      <w:jc w:val="left"/>
      <w:spacing w:before="100" w:beforeAutospacing="1" w:after="100" w:afterAutospacing="1"/>
      <w:widowControl/>
    </w:pPr>
    <w:rPr>
      <w:rFonts w:hint="eastAsia" w:ascii="宋体" w:hAnsi="宋体"/>
      <w:color w:val="333333"/>
      <w:sz w:val="18"/>
      <w:szCs w:val="18"/>
    </w:rPr>
  </w:style>
  <w:style w:type="paragraph" w:styleId="1070" w:customStyle="1">
    <w:name w:val="xl29"/>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 Char Char Char Char Char 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072" w:customStyle="1">
    <w:name w:val="Char"/>
    <w:basedOn w:val="806"/>
    <w:uiPriority w:val="0"/>
    <w:qFormat/>
    <w:pPr>
      <w:tabs>
        <w:tab w:val="left" w:pos="360" w:leader="none"/>
      </w:tabs>
    </w:pPr>
    <w:rPr>
      <w:sz w:val="24"/>
    </w:rPr>
  </w:style>
  <w:style w:type="paragraph" w:styleId="107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74" w:customStyle="1">
    <w:name w:val="xl38"/>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75" w:customStyle="1">
    <w:name w:val="xl36"/>
    <w:basedOn w:val="80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6" w:customStyle="1">
    <w:name w:val="xl59"/>
    <w:basedOn w:val="80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7" w:customStyle="1">
    <w:name w:val="xl45"/>
    <w:basedOn w:val="80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78" w:customStyle="1">
    <w:name w:val="WPSOffice手动目录 1"/>
    <w:uiPriority w:val="0"/>
    <w:qFormat/>
    <w:rPr>
      <w:rFonts w:hint="default" w:ascii="Times New Roman" w:hAnsi="Times New Roman" w:eastAsia="宋体" w:cs="Times New Roman"/>
      <w:sz w:val="20"/>
      <w:szCs w:val="20"/>
    </w:rPr>
  </w:style>
  <w:style w:type="paragraph" w:styleId="1079" w:customStyle="1">
    <w:name w:val="Char Char Char Char"/>
    <w:basedOn w:val="1009"/>
    <w:uiPriority w:val="0"/>
    <w:qFormat/>
    <w:pPr>
      <w:spacing w:line="360" w:lineRule="auto"/>
    </w:pPr>
    <w:rPr>
      <w:rFonts w:ascii="Tahoma" w:hAnsi="Tahoma"/>
      <w:sz w:val="24"/>
    </w:rPr>
  </w:style>
  <w:style w:type="paragraph" w:styleId="1080" w:customStyle="1">
    <w:name w:val="xl78"/>
    <w:basedOn w:val="8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1" w:customStyle="1">
    <w:name w:val="xl82"/>
    <w:basedOn w:val="8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82" w:customStyle="1">
    <w:name w:val="xl86"/>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3" w:customStyle="1">
    <w:name w:val="xl40"/>
    <w:basedOn w:val="8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xl47"/>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5" w:customStyle="1">
    <w:name w:val="xl67"/>
    <w:basedOn w:val="8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6" w:customStyle="1">
    <w:name w:val="标题6"/>
    <w:basedOn w:val="1002"/>
    <w:next w:val="806"/>
    <w:uiPriority w:val="0"/>
    <w:qFormat/>
    <w:pPr>
      <w:numPr>
        <w:ilvl w:val="0"/>
        <w:numId w:val="0"/>
      </w:numPr>
      <w:spacing w:before="0" w:after="0"/>
    </w:pPr>
    <w:rPr>
      <w:rFonts w:ascii="楷体" w:hAnsi="楷体" w:eastAsia="楷体"/>
    </w:rPr>
  </w:style>
  <w:style w:type="paragraph" w:styleId="1087" w:customStyle="1">
    <w:name w:val="xl68"/>
    <w:basedOn w:val="80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8" w:customStyle="1">
    <w:name w:val="Table Paragraph"/>
    <w:basedOn w:val="806"/>
    <w:uiPriority w:val="1"/>
    <w:qFormat/>
    <w:pPr>
      <w:ind w:left="686"/>
      <w:jc w:val="center"/>
    </w:pPr>
    <w:rPr>
      <w:rFonts w:ascii="宋体" w:hAnsi="宋体" w:eastAsia="楷体_GB2312" w:cs="宋体"/>
      <w:sz w:val="22"/>
      <w:szCs w:val="20"/>
      <w:lang w:eastAsia="en-US"/>
    </w:rPr>
  </w:style>
  <w:style w:type="paragraph" w:styleId="108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90" w:customStyle="1">
    <w:name w:val="font6"/>
    <w:basedOn w:val="806"/>
    <w:uiPriority w:val="0"/>
    <w:qFormat/>
    <w:pPr>
      <w:jc w:val="left"/>
      <w:spacing w:before="100" w:beforeAutospacing="1" w:after="100" w:afterAutospacing="1"/>
      <w:widowControl/>
    </w:pPr>
    <w:rPr>
      <w:rFonts w:eastAsia="Arial Unicode MS"/>
      <w:sz w:val="18"/>
      <w:szCs w:val="18"/>
    </w:rPr>
  </w:style>
  <w:style w:type="paragraph" w:styleId="1091" w:customStyle="1">
    <w:name w:val="xl81"/>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92" w:customStyle="1">
    <w:name w:val="xl64"/>
    <w:basedOn w:val="80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93" w:customStyle="1">
    <w:name w:val="_"/>
    <w:basedOn w:val="806"/>
    <w:uiPriority w:val="0"/>
    <w:qFormat/>
    <w:pPr>
      <w:ind w:left="480"/>
      <w:spacing w:line="360" w:lineRule="auto"/>
    </w:pPr>
    <w:rPr>
      <w:sz w:val="24"/>
      <w:szCs w:val="20"/>
    </w:rPr>
  </w:style>
  <w:style w:type="paragraph" w:styleId="1094" w:customStyle="1">
    <w:name w:val="xl56"/>
    <w:basedOn w:val="80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5" w:customStyle="1">
    <w:name w:val="xl62"/>
    <w:basedOn w:val="8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6" w:customStyle="1">
    <w:name w:val="xl75"/>
    <w:basedOn w:val="80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97" w:customStyle="1">
    <w:name w:val="xl49"/>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8" w:customStyle="1">
    <w:name w:val="List Paragraph1"/>
    <w:basedOn w:val="806"/>
    <w:uiPriority w:val="99"/>
    <w:qFormat/>
    <w:pPr>
      <w:ind w:firstLine="420"/>
    </w:pPr>
    <w:rPr>
      <w:rFonts w:ascii="Times New Roman" w:hAnsi="Times New Roman" w:eastAsia="仿宋_GB2312"/>
      <w:sz w:val="32"/>
    </w:rPr>
  </w:style>
  <w:style w:type="paragraph" w:styleId="1099" w:customStyle="1">
    <w:name w:val="xl80"/>
    <w:basedOn w:val="80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0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01" w:customStyle="1">
    <w:name w:val="xl39"/>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2" w:customStyle="1">
    <w:name w:val="样式 小四 行距: 1.5 倍行距"/>
    <w:basedOn w:val="806"/>
    <w:uiPriority w:val="0"/>
    <w:qFormat/>
    <w:pPr>
      <w:ind w:firstLine="480"/>
      <w:spacing w:line="360" w:lineRule="auto"/>
    </w:pPr>
    <w:rPr>
      <w:szCs w:val="20"/>
    </w:rPr>
  </w:style>
  <w:style w:type="paragraph" w:styleId="1103" w:customStyle="1">
    <w:name w:val="_Style 2"/>
    <w:basedOn w:val="806"/>
    <w:uiPriority w:val="0"/>
    <w:qFormat/>
    <w:pPr>
      <w:ind w:firstLine="420"/>
    </w:pPr>
    <w:rPr>
      <w:rFonts w:ascii="Calibri" w:hAnsi="Calibri"/>
    </w:rPr>
  </w:style>
  <w:style w:type="paragraph" w:styleId="1104" w:customStyle="1">
    <w:name w:val="xl53"/>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5" w:customStyle="1">
    <w:name w:val="xl69"/>
    <w:basedOn w:val="8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6" w:customStyle="1">
    <w:name w:val="font7"/>
    <w:basedOn w:val="806"/>
    <w:uiPriority w:val="0"/>
    <w:qFormat/>
    <w:pPr>
      <w:jc w:val="left"/>
      <w:spacing w:before="100" w:beforeAutospacing="1" w:after="100" w:afterAutospacing="1"/>
      <w:widowControl/>
    </w:pPr>
    <w:rPr>
      <w:rFonts w:eastAsia="Arial Unicode MS"/>
      <w:sz w:val="18"/>
      <w:szCs w:val="18"/>
    </w:rPr>
  </w:style>
  <w:style w:type="paragraph" w:styleId="1107" w:customStyle="1">
    <w:name w:val="xl48"/>
    <w:basedOn w:val="80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08" w:customStyle="1">
    <w:name w:val="font9"/>
    <w:basedOn w:val="806"/>
    <w:uiPriority w:val="0"/>
    <w:qFormat/>
    <w:pPr>
      <w:jc w:val="left"/>
      <w:spacing w:before="100" w:beforeAutospacing="1" w:after="100" w:afterAutospacing="1"/>
      <w:widowControl/>
    </w:pPr>
    <w:rPr>
      <w:rFonts w:eastAsia="Arial Unicode MS"/>
      <w:b/>
      <w:bCs/>
      <w:color w:val="000000"/>
      <w:sz w:val="18"/>
      <w:szCs w:val="18"/>
    </w:rPr>
  </w:style>
  <w:style w:type="paragraph" w:styleId="1109" w:customStyle="1">
    <w:name w:val="xl52"/>
    <w:basedOn w:val="8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10" w:customStyle="1">
    <w:name w:val="xl65"/>
    <w:basedOn w:val="80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11"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12" w:customStyle="1">
    <w:name w:val="xl83"/>
    <w:basedOn w:val="80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3" w:customStyle="1">
    <w:name w:val="xl85"/>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14" w:customStyle="1">
    <w:name w:val="xl70"/>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5" w:customStyle="1">
    <w:name w:val="xl44"/>
    <w:basedOn w:val="806"/>
    <w:uiPriority w:val="0"/>
    <w:qFormat/>
    <w:pPr>
      <w:jc w:val="right"/>
      <w:spacing w:before="100" w:beforeAutospacing="1" w:after="100" w:afterAutospacing="1"/>
      <w:widowControl/>
    </w:pPr>
    <w:rPr>
      <w:rFonts w:ascii="Arial Unicode MS" w:hAnsi="Arial Unicode MS" w:eastAsia="Arial Unicode MS"/>
      <w:sz w:val="24"/>
    </w:rPr>
  </w:style>
  <w:style w:type="paragraph" w:styleId="1116" w:customStyle="1">
    <w:name w:val="xl76"/>
    <w:basedOn w:val="80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17" w:customStyle="1">
    <w:name w:val="xl72"/>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8" w:customStyle="1">
    <w:name w:val="xl58"/>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9" w:customStyle="1">
    <w:name w:val="xl42"/>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20" w:customStyle="1">
    <w:name w:val="xl50"/>
    <w:basedOn w:val="80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1" w:customStyle="1">
    <w:name w:val="xl5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22" w:customStyle="1">
    <w:name w:val="xl61"/>
    <w:basedOn w:val="80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3" w:customStyle="1">
    <w:name w:val="xl79"/>
    <w:basedOn w:val="80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24" w:customStyle="1">
    <w:name w:val="列出段落1"/>
    <w:basedOn w:val="806"/>
    <w:uiPriority w:val="34"/>
    <w:qFormat/>
    <w:pPr>
      <w:ind w:firstLine="420"/>
    </w:pPr>
    <w:rPr>
      <w:rFonts w:ascii="Calibri" w:hAnsi="Calibri"/>
    </w:rPr>
  </w:style>
  <w:style w:type="paragraph" w:styleId="1125" w:customStyle="1">
    <w:name w:val="xl5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2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默认段落字体 Para Char Char Char Char Char Char Char Char Char1 Char Char Char Char Char Char Char"/>
    <w:basedOn w:val="1009"/>
    <w:uiPriority w:val="0"/>
    <w:qFormat/>
    <w:rPr>
      <w:rFonts w:ascii="Tahoma" w:hAnsi="Tahoma"/>
      <w:sz w:val="24"/>
    </w:rPr>
  </w:style>
  <w:style w:type="paragraph" w:styleId="1128" w:customStyle="1">
    <w:name w:val="普通正文"/>
    <w:basedOn w:val="806"/>
    <w:uiPriority w:val="0"/>
    <w:qFormat/>
    <w:pPr>
      <w:ind w:firstLine="480"/>
      <w:jc w:val="left"/>
      <w:spacing w:before="120" w:after="120" w:line="360" w:lineRule="auto"/>
    </w:pPr>
    <w:rPr>
      <w:rFonts w:ascii="Arial" w:hAnsi="Arial"/>
      <w:sz w:val="24"/>
    </w:rPr>
  </w:style>
  <w:style w:type="paragraph" w:styleId="1129" w:customStyle="1">
    <w:name w:val="xl35"/>
    <w:basedOn w:val="80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30" w:customStyle="1">
    <w:name w:val="xl63"/>
    <w:basedOn w:val="80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31"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132" w:customStyle="1">
    <w:name w:val="Body text|1"/>
    <w:basedOn w:val="806"/>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3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137" w:customStyle="1">
    <w:name w:val="font21"/>
    <w:basedOn w:val="816"/>
    <w:uiPriority w:val="0"/>
    <w:qFormat/>
    <w:rPr>
      <w:rFonts w:hint="eastAsia" w:ascii="宋体" w:hAnsi="宋体" w:eastAsia="宋体" w:cs="宋体"/>
      <w:color w:val="000000"/>
      <w:sz w:val="20"/>
      <w:szCs w:val="20"/>
      <w:u w:val="none"/>
    </w:rPr>
  </w:style>
  <w:style w:type="paragraph" w:styleId="1138" w:customStyle="1">
    <w:name w:val="Body text|2"/>
    <w:basedOn w:val="806"/>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39" w:customStyle="1">
    <w:name w:val="Table Text"/>
    <w:basedOn w:val="806"/>
    <w:uiPriority w:val="0"/>
    <w:semiHidden/>
    <w:qFormat/>
    <w:rPr>
      <w:rFonts w:ascii="宋体" w:hAnsi="宋体" w:eastAsia="宋体" w:cs="宋体"/>
      <w:sz w:val="24"/>
      <w:szCs w:val="24"/>
    </w:rPr>
  </w:style>
  <w:style w:type="table" w:styleId="1140" w:customStyle="1">
    <w:name w:val="Table Normal"/>
    <w:uiPriority w:val="0"/>
    <w:semiHidden/>
    <w:unhideWhenUsed/>
    <w:qFormat/>
    <w:tblPr>
      <w:tblCellMar>
        <w:left w:w="0" w:type="dxa"/>
        <w:top w:w="0" w:type="dxa"/>
        <w:right w:w="0" w:type="dxa"/>
        <w:bottom w:w="0" w:type="dxa"/>
      </w:tblCellMar>
    </w:tblPr>
  </w:style>
  <w:style w:type="character" w:styleId="1141" w:customStyle="1">
    <w:name w:val="font01"/>
    <w:basedOn w:val="816"/>
    <w:uiPriority w:val="0"/>
    <w:qFormat/>
    <w:rPr>
      <w:rFonts w:hint="eastAsia" w:ascii="宋体" w:hAnsi="宋体" w:eastAsia="宋体" w:cs="宋体"/>
      <w:color w:val="000000"/>
      <w:sz w:val="22"/>
      <w:szCs w:val="22"/>
      <w:u w:val="none"/>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谢静</cp:lastModifiedBy>
  <cp:revision>5</cp:revision>
  <dcterms:created xsi:type="dcterms:W3CDTF">2018-11-06T08:29:00Z</dcterms:created>
  <dcterms:modified xsi:type="dcterms:W3CDTF">2025-12-03T01:45:20Z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0BD6583B60A04FCBA05CFB41C822C563_13</vt:lpwstr>
  </property>
  <property fmtid="{D5CDD505-2E9C-101B-9397-08002B2CF9AE}" pid="4" name="KSOTemplateDocerSaveRecord">
    <vt:lpwstr>eyJoZGlkIjoiMDBmMTJjYmNiMjg4ZjBjNzI1MTVjMTYzYzgzYTZmZWIiLCJ1c2VySWQiOiI1MDMzNTA2ODIifQ==</vt:lpwstr>
  </property>
</Properties>
</file>